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6E582">
      <w:pPr>
        <w:keepNext w:val="0"/>
        <w:keepLines w:val="0"/>
        <w:widowControl/>
        <w:numPr>
          <w:ilvl w:val="0"/>
          <w:numId w:val="0"/>
        </w:numPr>
        <w:suppressLineNumbers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14:paraId="58A1BECC">
      <w:pPr>
        <w:keepNext w:val="0"/>
        <w:keepLines w:val="0"/>
        <w:widowControl/>
        <w:numPr>
          <w:ilvl w:val="0"/>
          <w:numId w:val="0"/>
        </w:numPr>
        <w:suppressLineNumbers w:val="0"/>
        <w:jc w:val="center"/>
        <w:rPr>
          <w:b/>
          <w:sz w:val="28"/>
          <w:szCs w:val="30"/>
        </w:rPr>
      </w:pPr>
      <w:r>
        <w:rPr>
          <w:rFonts w:hint="eastAsia" w:eastAsia="方正小标宋简体"/>
          <w:b w:val="0"/>
          <w:bCs w:val="0"/>
          <w:sz w:val="28"/>
          <w:szCs w:val="28"/>
        </w:rPr>
        <w:t>高等学校实验室安全检查项目表简表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603"/>
        <w:gridCol w:w="697"/>
        <w:gridCol w:w="720"/>
        <w:gridCol w:w="1102"/>
      </w:tblGrid>
      <w:tr w14:paraId="0B06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8" w:type="dxa"/>
            <w:vMerge w:val="restart"/>
            <w:noWrap w:val="0"/>
            <w:vAlign w:val="center"/>
          </w:tcPr>
          <w:p w14:paraId="296DECAC">
            <w:pPr>
              <w:spacing w:line="240" w:lineRule="exact"/>
              <w:jc w:val="center"/>
              <w:rPr>
                <w:rFonts w:eastAsia="黑体"/>
                <w:b/>
                <w:bCs/>
                <w:kern w:val="0"/>
                <w:szCs w:val="21"/>
              </w:rPr>
            </w:pPr>
            <w:r>
              <w:rPr>
                <w:rFonts w:eastAsia="黑体"/>
                <w:b/>
                <w:bCs/>
                <w:kern w:val="0"/>
                <w:szCs w:val="21"/>
              </w:rPr>
              <w:t>序号</w:t>
            </w:r>
          </w:p>
        </w:tc>
        <w:tc>
          <w:tcPr>
            <w:tcW w:w="5603" w:type="dxa"/>
            <w:vMerge w:val="restart"/>
            <w:noWrap w:val="0"/>
            <w:vAlign w:val="center"/>
          </w:tcPr>
          <w:p w14:paraId="7CBD1C3E">
            <w:pPr>
              <w:spacing w:line="240" w:lineRule="exact"/>
              <w:jc w:val="center"/>
              <w:rPr>
                <w:rFonts w:eastAsia="黑体"/>
                <w:b/>
                <w:bCs/>
                <w:kern w:val="0"/>
                <w:szCs w:val="21"/>
              </w:rPr>
            </w:pPr>
            <w:r>
              <w:rPr>
                <w:rFonts w:eastAsia="黑体"/>
                <w:b/>
                <w:bCs/>
                <w:kern w:val="0"/>
                <w:szCs w:val="21"/>
              </w:rPr>
              <w:t>检查项目</w:t>
            </w:r>
          </w:p>
        </w:tc>
        <w:tc>
          <w:tcPr>
            <w:tcW w:w="2519" w:type="dxa"/>
            <w:gridSpan w:val="3"/>
            <w:noWrap w:val="0"/>
            <w:vAlign w:val="center"/>
          </w:tcPr>
          <w:p w14:paraId="0A63ABC5">
            <w:pPr>
              <w:widowControl/>
              <w:spacing w:line="240" w:lineRule="exact"/>
              <w:jc w:val="center"/>
              <w:rPr>
                <w:rFonts w:eastAsia="黑体"/>
                <w:b/>
                <w:bCs/>
                <w:kern w:val="0"/>
                <w:szCs w:val="21"/>
              </w:rPr>
            </w:pPr>
            <w:r>
              <w:rPr>
                <w:rFonts w:hint="eastAsia" w:eastAsia="黑体"/>
                <w:b/>
                <w:bCs/>
                <w:kern w:val="0"/>
                <w:szCs w:val="21"/>
              </w:rPr>
              <w:t>自查要点</w:t>
            </w:r>
          </w:p>
        </w:tc>
      </w:tr>
      <w:tr w14:paraId="5BDC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8" w:type="dxa"/>
            <w:vMerge w:val="continue"/>
            <w:noWrap w:val="0"/>
            <w:vAlign w:val="center"/>
          </w:tcPr>
          <w:p w14:paraId="6D734355">
            <w:pPr>
              <w:widowControl/>
              <w:spacing w:line="240" w:lineRule="exact"/>
              <w:jc w:val="center"/>
              <w:rPr>
                <w:rFonts w:eastAsia="黑体"/>
                <w:b/>
                <w:bCs/>
                <w:kern w:val="0"/>
                <w:szCs w:val="21"/>
              </w:rPr>
            </w:pPr>
          </w:p>
        </w:tc>
        <w:tc>
          <w:tcPr>
            <w:tcW w:w="5603" w:type="dxa"/>
            <w:vMerge w:val="continue"/>
            <w:noWrap w:val="0"/>
            <w:vAlign w:val="center"/>
          </w:tcPr>
          <w:p w14:paraId="56BBE73A">
            <w:pPr>
              <w:widowControl/>
              <w:spacing w:line="240" w:lineRule="exact"/>
              <w:jc w:val="center"/>
              <w:rPr>
                <w:rFonts w:eastAsia="黑体"/>
                <w:b/>
                <w:bCs/>
                <w:kern w:val="0"/>
                <w:szCs w:val="21"/>
              </w:rPr>
            </w:pPr>
          </w:p>
        </w:tc>
        <w:tc>
          <w:tcPr>
            <w:tcW w:w="697" w:type="dxa"/>
            <w:noWrap w:val="0"/>
            <w:vAlign w:val="center"/>
          </w:tcPr>
          <w:p w14:paraId="636F7AED">
            <w:pPr>
              <w:widowControl/>
              <w:spacing w:line="240" w:lineRule="exact"/>
              <w:jc w:val="center"/>
              <w:rPr>
                <w:rFonts w:eastAsia="黑体"/>
                <w:b/>
                <w:bCs/>
                <w:kern w:val="0"/>
                <w:sz w:val="18"/>
                <w:szCs w:val="18"/>
              </w:rPr>
            </w:pPr>
          </w:p>
        </w:tc>
        <w:tc>
          <w:tcPr>
            <w:tcW w:w="720" w:type="dxa"/>
            <w:noWrap w:val="0"/>
            <w:vAlign w:val="center"/>
          </w:tcPr>
          <w:p w14:paraId="7A5E3FC1">
            <w:pPr>
              <w:widowControl/>
              <w:spacing w:line="240" w:lineRule="exact"/>
              <w:jc w:val="center"/>
              <w:rPr>
                <w:rFonts w:eastAsia="黑体"/>
                <w:b/>
                <w:bCs/>
                <w:kern w:val="0"/>
                <w:sz w:val="18"/>
                <w:szCs w:val="18"/>
              </w:rPr>
            </w:pPr>
          </w:p>
        </w:tc>
        <w:tc>
          <w:tcPr>
            <w:tcW w:w="1102" w:type="dxa"/>
            <w:noWrap w:val="0"/>
            <w:vAlign w:val="center"/>
          </w:tcPr>
          <w:p w14:paraId="0985AE2E">
            <w:pPr>
              <w:widowControl/>
              <w:spacing w:line="240" w:lineRule="exact"/>
              <w:jc w:val="center"/>
              <w:rPr>
                <w:rFonts w:hint="eastAsia" w:eastAsia="黑体"/>
                <w:b/>
                <w:bCs/>
                <w:kern w:val="0"/>
                <w:sz w:val="18"/>
                <w:szCs w:val="18"/>
              </w:rPr>
            </w:pPr>
          </w:p>
        </w:tc>
      </w:tr>
      <w:tr w14:paraId="4268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F0F16CD">
            <w:r>
              <w:t>1</w:t>
            </w:r>
          </w:p>
        </w:tc>
        <w:tc>
          <w:tcPr>
            <w:tcW w:w="5603" w:type="dxa"/>
            <w:noWrap w:val="0"/>
            <w:vAlign w:val="center"/>
          </w:tcPr>
          <w:p w14:paraId="5E3EC828">
            <w:pPr>
              <w:widowControl/>
              <w:spacing w:line="240" w:lineRule="exact"/>
              <w:jc w:val="left"/>
              <w:rPr>
                <w:kern w:val="0"/>
                <w:szCs w:val="21"/>
              </w:rPr>
            </w:pPr>
            <w:r>
              <w:rPr>
                <w:rFonts w:hint="eastAsia"/>
                <w:kern w:val="0"/>
                <w:szCs w:val="21"/>
              </w:rPr>
              <w:t>涉及安全隐患的设备（如大型仪器、高温、高速、高压、强磁、低温等设备）有安全操作规程，并明示</w:t>
            </w:r>
          </w:p>
        </w:tc>
        <w:tc>
          <w:tcPr>
            <w:tcW w:w="2519" w:type="dxa"/>
            <w:gridSpan w:val="3"/>
            <w:noWrap w:val="0"/>
            <w:vAlign w:val="top"/>
          </w:tcPr>
          <w:p w14:paraId="2C0FD924">
            <w:pPr>
              <w:widowControl/>
              <w:spacing w:line="240" w:lineRule="exact"/>
              <w:rPr>
                <w:bCs/>
                <w:kern w:val="0"/>
                <w:sz w:val="15"/>
                <w:szCs w:val="15"/>
              </w:rPr>
            </w:pPr>
            <w:r>
              <w:rPr>
                <w:rFonts w:hint="eastAsia"/>
                <w:bCs/>
                <w:kern w:val="0"/>
                <w:sz w:val="15"/>
                <w:szCs w:val="15"/>
              </w:rPr>
              <w:t>包括操作步骤与安全注意事项；张贴位置正确；门口有明显标识</w:t>
            </w:r>
          </w:p>
        </w:tc>
      </w:tr>
      <w:tr w14:paraId="3C58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475F0BA">
            <w:r>
              <w:t>2</w:t>
            </w:r>
          </w:p>
        </w:tc>
        <w:tc>
          <w:tcPr>
            <w:tcW w:w="5603" w:type="dxa"/>
            <w:noWrap w:val="0"/>
            <w:vAlign w:val="center"/>
          </w:tcPr>
          <w:p w14:paraId="62C2FF95">
            <w:pPr>
              <w:widowControl/>
              <w:spacing w:line="240" w:lineRule="exact"/>
              <w:jc w:val="left"/>
              <w:rPr>
                <w:kern w:val="0"/>
                <w:szCs w:val="21"/>
              </w:rPr>
            </w:pPr>
            <w:r>
              <w:rPr>
                <w:rFonts w:hint="eastAsia"/>
                <w:kern w:val="0"/>
                <w:szCs w:val="21"/>
              </w:rPr>
              <w:t>危险性实验、工艺有实验指导书或操作规程（含安全注意事项），并明示</w:t>
            </w:r>
          </w:p>
        </w:tc>
        <w:tc>
          <w:tcPr>
            <w:tcW w:w="2519" w:type="dxa"/>
            <w:gridSpan w:val="3"/>
            <w:noWrap w:val="0"/>
            <w:vAlign w:val="top"/>
          </w:tcPr>
          <w:p w14:paraId="0BFB91C5">
            <w:pPr>
              <w:widowControl/>
              <w:spacing w:line="240" w:lineRule="exact"/>
              <w:rPr>
                <w:bCs/>
                <w:kern w:val="0"/>
                <w:sz w:val="15"/>
                <w:szCs w:val="15"/>
              </w:rPr>
            </w:pPr>
            <w:r>
              <w:rPr>
                <w:rFonts w:hint="eastAsia"/>
                <w:bCs/>
                <w:kern w:val="0"/>
                <w:sz w:val="15"/>
                <w:szCs w:val="15"/>
              </w:rPr>
              <w:t>门口信息牌有标识；查看资料、实验记录、询问学生</w:t>
            </w:r>
          </w:p>
        </w:tc>
      </w:tr>
      <w:tr w14:paraId="0302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BD76424">
            <w:r>
              <w:t>3</w:t>
            </w:r>
          </w:p>
        </w:tc>
        <w:tc>
          <w:tcPr>
            <w:tcW w:w="5603" w:type="dxa"/>
            <w:noWrap w:val="0"/>
            <w:vAlign w:val="center"/>
          </w:tcPr>
          <w:p w14:paraId="5D38F93A">
            <w:pPr>
              <w:widowControl/>
              <w:spacing w:line="240" w:lineRule="exact"/>
              <w:jc w:val="left"/>
              <w:rPr>
                <w:kern w:val="0"/>
                <w:szCs w:val="21"/>
              </w:rPr>
            </w:pPr>
            <w:r>
              <w:rPr>
                <w:rFonts w:hint="eastAsia"/>
                <w:kern w:val="0"/>
                <w:szCs w:val="21"/>
              </w:rPr>
              <w:t>对于涉及危险源的实验场所，有明确的警示标识</w:t>
            </w:r>
          </w:p>
        </w:tc>
        <w:tc>
          <w:tcPr>
            <w:tcW w:w="697" w:type="dxa"/>
            <w:noWrap w:val="0"/>
            <w:vAlign w:val="top"/>
          </w:tcPr>
          <w:p w14:paraId="074FDD5C">
            <w:pPr>
              <w:widowControl/>
              <w:spacing w:line="240" w:lineRule="exact"/>
              <w:jc w:val="center"/>
              <w:rPr>
                <w:b/>
                <w:bCs/>
                <w:kern w:val="0"/>
                <w:sz w:val="15"/>
                <w:szCs w:val="15"/>
              </w:rPr>
            </w:pPr>
          </w:p>
        </w:tc>
        <w:tc>
          <w:tcPr>
            <w:tcW w:w="720" w:type="dxa"/>
            <w:noWrap w:val="0"/>
            <w:vAlign w:val="top"/>
          </w:tcPr>
          <w:p w14:paraId="4EEDDA33">
            <w:pPr>
              <w:widowControl/>
              <w:spacing w:line="240" w:lineRule="exact"/>
              <w:jc w:val="center"/>
              <w:rPr>
                <w:b/>
                <w:bCs/>
                <w:kern w:val="0"/>
                <w:sz w:val="15"/>
                <w:szCs w:val="15"/>
              </w:rPr>
            </w:pPr>
          </w:p>
        </w:tc>
        <w:tc>
          <w:tcPr>
            <w:tcW w:w="1102" w:type="dxa"/>
            <w:noWrap w:val="0"/>
            <w:vAlign w:val="top"/>
          </w:tcPr>
          <w:p w14:paraId="785E3442">
            <w:pPr>
              <w:widowControl/>
              <w:spacing w:line="240" w:lineRule="exact"/>
              <w:jc w:val="center"/>
              <w:rPr>
                <w:b/>
                <w:bCs/>
                <w:kern w:val="0"/>
                <w:sz w:val="15"/>
                <w:szCs w:val="15"/>
              </w:rPr>
            </w:pPr>
          </w:p>
        </w:tc>
      </w:tr>
      <w:tr w14:paraId="7C70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55CCDB2">
            <w:r>
              <w:t>4</w:t>
            </w:r>
          </w:p>
        </w:tc>
        <w:tc>
          <w:tcPr>
            <w:tcW w:w="5603" w:type="dxa"/>
            <w:noWrap w:val="0"/>
            <w:vAlign w:val="center"/>
          </w:tcPr>
          <w:p w14:paraId="7DEFE89F">
            <w:pPr>
              <w:widowControl/>
              <w:spacing w:line="240" w:lineRule="exact"/>
              <w:rPr>
                <w:kern w:val="0"/>
                <w:szCs w:val="21"/>
              </w:rPr>
            </w:pPr>
            <w:r>
              <w:rPr>
                <w:kern w:val="0"/>
                <w:szCs w:val="21"/>
              </w:rPr>
              <w:t>实验室物品摆放有序，卫生状况良好；实验完毕物品归位</w:t>
            </w:r>
          </w:p>
        </w:tc>
        <w:tc>
          <w:tcPr>
            <w:tcW w:w="697" w:type="dxa"/>
            <w:noWrap w:val="0"/>
            <w:vAlign w:val="top"/>
          </w:tcPr>
          <w:p w14:paraId="7AE23FBD">
            <w:pPr>
              <w:widowControl/>
              <w:spacing w:line="240" w:lineRule="exact"/>
              <w:jc w:val="center"/>
              <w:rPr>
                <w:b/>
                <w:bCs/>
                <w:kern w:val="0"/>
                <w:sz w:val="15"/>
                <w:szCs w:val="15"/>
              </w:rPr>
            </w:pPr>
          </w:p>
        </w:tc>
        <w:tc>
          <w:tcPr>
            <w:tcW w:w="720" w:type="dxa"/>
            <w:noWrap w:val="0"/>
            <w:vAlign w:val="top"/>
          </w:tcPr>
          <w:p w14:paraId="2CC44B1A">
            <w:pPr>
              <w:widowControl/>
              <w:spacing w:line="240" w:lineRule="exact"/>
              <w:jc w:val="center"/>
              <w:rPr>
                <w:b/>
                <w:bCs/>
                <w:kern w:val="0"/>
                <w:sz w:val="15"/>
                <w:szCs w:val="15"/>
              </w:rPr>
            </w:pPr>
          </w:p>
        </w:tc>
        <w:tc>
          <w:tcPr>
            <w:tcW w:w="1102" w:type="dxa"/>
            <w:noWrap w:val="0"/>
            <w:vAlign w:val="top"/>
          </w:tcPr>
          <w:p w14:paraId="6522F1E5">
            <w:pPr>
              <w:widowControl/>
              <w:spacing w:line="240" w:lineRule="exact"/>
              <w:jc w:val="center"/>
              <w:rPr>
                <w:b/>
                <w:bCs/>
                <w:kern w:val="0"/>
                <w:sz w:val="15"/>
                <w:szCs w:val="15"/>
              </w:rPr>
            </w:pPr>
          </w:p>
        </w:tc>
      </w:tr>
      <w:tr w14:paraId="42CB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DBFC1B9">
            <w:r>
              <w:t>5</w:t>
            </w:r>
          </w:p>
        </w:tc>
        <w:tc>
          <w:tcPr>
            <w:tcW w:w="5603" w:type="dxa"/>
            <w:noWrap w:val="0"/>
            <w:vAlign w:val="center"/>
          </w:tcPr>
          <w:p w14:paraId="0853525A">
            <w:pPr>
              <w:widowControl/>
              <w:spacing w:line="240" w:lineRule="exact"/>
              <w:jc w:val="left"/>
              <w:rPr>
                <w:kern w:val="0"/>
                <w:szCs w:val="21"/>
              </w:rPr>
            </w:pPr>
            <w:r>
              <w:rPr>
                <w:kern w:val="0"/>
                <w:szCs w:val="21"/>
              </w:rPr>
              <w:t>不存在门开着而无人的现象</w:t>
            </w:r>
          </w:p>
        </w:tc>
        <w:tc>
          <w:tcPr>
            <w:tcW w:w="2519" w:type="dxa"/>
            <w:gridSpan w:val="3"/>
            <w:noWrap w:val="0"/>
            <w:vAlign w:val="top"/>
          </w:tcPr>
          <w:p w14:paraId="3AFEB839">
            <w:pPr>
              <w:widowControl/>
              <w:spacing w:line="240" w:lineRule="exact"/>
              <w:jc w:val="center"/>
              <w:rPr>
                <w:b/>
                <w:bCs/>
                <w:kern w:val="0"/>
                <w:sz w:val="15"/>
                <w:szCs w:val="15"/>
              </w:rPr>
            </w:pPr>
            <w:r>
              <w:rPr>
                <w:rFonts w:hint="eastAsia"/>
                <w:bCs/>
                <w:sz w:val="15"/>
                <w:szCs w:val="15"/>
              </w:rPr>
              <w:t>人员要在岗</w:t>
            </w:r>
          </w:p>
        </w:tc>
      </w:tr>
      <w:tr w14:paraId="2A49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A82C256">
            <w:r>
              <w:t>6</w:t>
            </w:r>
          </w:p>
        </w:tc>
        <w:tc>
          <w:tcPr>
            <w:tcW w:w="5603" w:type="dxa"/>
            <w:noWrap w:val="0"/>
            <w:vAlign w:val="center"/>
          </w:tcPr>
          <w:p w14:paraId="526D3713">
            <w:pPr>
              <w:widowControl/>
              <w:spacing w:line="240" w:lineRule="exact"/>
              <w:rPr>
                <w:kern w:val="0"/>
                <w:szCs w:val="21"/>
              </w:rPr>
            </w:pPr>
            <w:r>
              <w:rPr>
                <w:kern w:val="0"/>
                <w:szCs w:val="21"/>
              </w:rPr>
              <w:t>无废弃物品（如纸板箱、废电脑、破仪器、破家具等）</w:t>
            </w:r>
          </w:p>
        </w:tc>
        <w:tc>
          <w:tcPr>
            <w:tcW w:w="697" w:type="dxa"/>
            <w:noWrap w:val="0"/>
            <w:vAlign w:val="top"/>
          </w:tcPr>
          <w:p w14:paraId="211A5619">
            <w:pPr>
              <w:widowControl/>
              <w:spacing w:line="240" w:lineRule="exact"/>
              <w:jc w:val="center"/>
              <w:rPr>
                <w:b/>
                <w:bCs/>
                <w:kern w:val="0"/>
                <w:sz w:val="15"/>
                <w:szCs w:val="15"/>
              </w:rPr>
            </w:pPr>
          </w:p>
        </w:tc>
        <w:tc>
          <w:tcPr>
            <w:tcW w:w="720" w:type="dxa"/>
            <w:noWrap w:val="0"/>
            <w:vAlign w:val="top"/>
          </w:tcPr>
          <w:p w14:paraId="48715BFB">
            <w:pPr>
              <w:widowControl/>
              <w:spacing w:line="240" w:lineRule="exact"/>
              <w:jc w:val="center"/>
              <w:rPr>
                <w:b/>
                <w:bCs/>
                <w:kern w:val="0"/>
                <w:sz w:val="15"/>
                <w:szCs w:val="15"/>
              </w:rPr>
            </w:pPr>
          </w:p>
        </w:tc>
        <w:tc>
          <w:tcPr>
            <w:tcW w:w="1102" w:type="dxa"/>
            <w:noWrap w:val="0"/>
            <w:vAlign w:val="top"/>
          </w:tcPr>
          <w:p w14:paraId="6BAEC445">
            <w:pPr>
              <w:widowControl/>
              <w:spacing w:line="240" w:lineRule="exact"/>
              <w:jc w:val="center"/>
              <w:rPr>
                <w:b/>
                <w:bCs/>
                <w:kern w:val="0"/>
                <w:sz w:val="15"/>
                <w:szCs w:val="15"/>
              </w:rPr>
            </w:pPr>
          </w:p>
        </w:tc>
      </w:tr>
      <w:tr w14:paraId="4D76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D5ED24D">
            <w:r>
              <w:t>7</w:t>
            </w:r>
          </w:p>
        </w:tc>
        <w:tc>
          <w:tcPr>
            <w:tcW w:w="5603" w:type="dxa"/>
            <w:noWrap w:val="0"/>
            <w:vAlign w:val="center"/>
          </w:tcPr>
          <w:p w14:paraId="39E8E709">
            <w:pPr>
              <w:widowControl/>
              <w:spacing w:line="240" w:lineRule="exact"/>
              <w:jc w:val="left"/>
              <w:rPr>
                <w:kern w:val="0"/>
                <w:szCs w:val="21"/>
              </w:rPr>
            </w:pPr>
            <w:r>
              <w:rPr>
                <w:kern w:val="0"/>
                <w:szCs w:val="21"/>
              </w:rPr>
              <w:t>实验室内不放无关物品，如电动车、自行车等</w:t>
            </w:r>
          </w:p>
        </w:tc>
        <w:tc>
          <w:tcPr>
            <w:tcW w:w="697" w:type="dxa"/>
            <w:noWrap w:val="0"/>
            <w:vAlign w:val="top"/>
          </w:tcPr>
          <w:p w14:paraId="1430CA03">
            <w:pPr>
              <w:widowControl/>
              <w:spacing w:line="240" w:lineRule="exact"/>
              <w:jc w:val="center"/>
              <w:rPr>
                <w:b/>
                <w:bCs/>
                <w:kern w:val="0"/>
                <w:sz w:val="15"/>
                <w:szCs w:val="15"/>
              </w:rPr>
            </w:pPr>
          </w:p>
        </w:tc>
        <w:tc>
          <w:tcPr>
            <w:tcW w:w="720" w:type="dxa"/>
            <w:noWrap w:val="0"/>
            <w:vAlign w:val="top"/>
          </w:tcPr>
          <w:p w14:paraId="02F5448E">
            <w:pPr>
              <w:widowControl/>
              <w:spacing w:line="240" w:lineRule="exact"/>
              <w:jc w:val="center"/>
              <w:rPr>
                <w:b/>
                <w:bCs/>
                <w:kern w:val="0"/>
                <w:sz w:val="15"/>
                <w:szCs w:val="15"/>
              </w:rPr>
            </w:pPr>
          </w:p>
        </w:tc>
        <w:tc>
          <w:tcPr>
            <w:tcW w:w="1102" w:type="dxa"/>
            <w:noWrap w:val="0"/>
            <w:vAlign w:val="top"/>
          </w:tcPr>
          <w:p w14:paraId="7E1CD82E">
            <w:pPr>
              <w:widowControl/>
              <w:spacing w:line="240" w:lineRule="exact"/>
              <w:jc w:val="center"/>
              <w:rPr>
                <w:b/>
                <w:bCs/>
                <w:kern w:val="0"/>
                <w:sz w:val="15"/>
                <w:szCs w:val="15"/>
              </w:rPr>
            </w:pPr>
          </w:p>
        </w:tc>
      </w:tr>
      <w:tr w14:paraId="5355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1ABC241">
            <w:r>
              <w:t>8</w:t>
            </w:r>
          </w:p>
        </w:tc>
        <w:tc>
          <w:tcPr>
            <w:tcW w:w="5603" w:type="dxa"/>
            <w:noWrap w:val="0"/>
            <w:vAlign w:val="center"/>
          </w:tcPr>
          <w:p w14:paraId="2FB2C0D3">
            <w:pPr>
              <w:widowControl/>
              <w:spacing w:line="240" w:lineRule="exact"/>
              <w:rPr>
                <w:kern w:val="0"/>
                <w:szCs w:val="21"/>
              </w:rPr>
            </w:pPr>
            <w:r>
              <w:rPr>
                <w:rFonts w:hint="eastAsia"/>
                <w:kern w:val="0"/>
                <w:szCs w:val="21"/>
              </w:rPr>
              <w:t>实验室内不存放或烧煮食物、饮食，无吸烟现象</w:t>
            </w:r>
          </w:p>
        </w:tc>
        <w:tc>
          <w:tcPr>
            <w:tcW w:w="2519" w:type="dxa"/>
            <w:gridSpan w:val="3"/>
            <w:noWrap w:val="0"/>
            <w:vAlign w:val="top"/>
          </w:tcPr>
          <w:p w14:paraId="222BD493">
            <w:pPr>
              <w:widowControl/>
              <w:spacing w:line="240" w:lineRule="exact"/>
              <w:jc w:val="center"/>
              <w:rPr>
                <w:bCs/>
                <w:kern w:val="0"/>
                <w:sz w:val="15"/>
                <w:szCs w:val="15"/>
              </w:rPr>
            </w:pPr>
            <w:r>
              <w:rPr>
                <w:rFonts w:hint="eastAsia"/>
                <w:bCs/>
                <w:kern w:val="0"/>
                <w:sz w:val="15"/>
                <w:szCs w:val="15"/>
              </w:rPr>
              <w:t>有无烹饪工具、食物、吸烟痕迹</w:t>
            </w:r>
          </w:p>
        </w:tc>
      </w:tr>
      <w:tr w14:paraId="04A7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4FB16DD">
            <w:r>
              <w:t>9</w:t>
            </w:r>
          </w:p>
        </w:tc>
        <w:tc>
          <w:tcPr>
            <w:tcW w:w="5603" w:type="dxa"/>
            <w:noWrap w:val="0"/>
            <w:vAlign w:val="center"/>
          </w:tcPr>
          <w:p w14:paraId="492B0368">
            <w:pPr>
              <w:widowControl/>
              <w:spacing w:line="240" w:lineRule="exact"/>
              <w:jc w:val="left"/>
              <w:rPr>
                <w:kern w:val="0"/>
                <w:szCs w:val="21"/>
              </w:rPr>
            </w:pPr>
            <w:r>
              <w:rPr>
                <w:rFonts w:hint="eastAsia"/>
                <w:kern w:val="0"/>
                <w:szCs w:val="21"/>
              </w:rPr>
              <w:t>实验室水、电、气管线布局合理，选用合格产品，安装施工规范</w:t>
            </w:r>
          </w:p>
        </w:tc>
        <w:tc>
          <w:tcPr>
            <w:tcW w:w="2519" w:type="dxa"/>
            <w:gridSpan w:val="3"/>
            <w:noWrap w:val="0"/>
            <w:vAlign w:val="top"/>
          </w:tcPr>
          <w:p w14:paraId="2DDD5EB3">
            <w:pPr>
              <w:widowControl/>
              <w:spacing w:line="240" w:lineRule="exact"/>
              <w:jc w:val="center"/>
              <w:rPr>
                <w:bCs/>
                <w:kern w:val="0"/>
                <w:sz w:val="15"/>
                <w:szCs w:val="15"/>
              </w:rPr>
            </w:pPr>
            <w:r>
              <w:rPr>
                <w:rFonts w:hint="eastAsia"/>
                <w:bCs/>
                <w:kern w:val="0"/>
                <w:sz w:val="15"/>
                <w:szCs w:val="15"/>
              </w:rPr>
              <w:t>现场查看</w:t>
            </w:r>
          </w:p>
        </w:tc>
      </w:tr>
      <w:tr w14:paraId="7548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65D3353">
            <w:r>
              <w:t>10</w:t>
            </w:r>
          </w:p>
        </w:tc>
        <w:tc>
          <w:tcPr>
            <w:tcW w:w="5603" w:type="dxa"/>
            <w:noWrap w:val="0"/>
            <w:vAlign w:val="center"/>
          </w:tcPr>
          <w:p w14:paraId="23D970D0">
            <w:pPr>
              <w:widowControl/>
              <w:spacing w:line="240" w:lineRule="exact"/>
              <w:jc w:val="left"/>
              <w:rPr>
                <w:kern w:val="0"/>
                <w:szCs w:val="21"/>
              </w:rPr>
            </w:pPr>
            <w:r>
              <w:rPr>
                <w:rFonts w:hint="eastAsia"/>
                <w:kern w:val="0"/>
                <w:szCs w:val="21"/>
              </w:rPr>
              <w:t>高温、明火设备放置位置与可燃气体管道有安全间隔距离</w:t>
            </w:r>
          </w:p>
        </w:tc>
        <w:tc>
          <w:tcPr>
            <w:tcW w:w="2519" w:type="dxa"/>
            <w:gridSpan w:val="3"/>
            <w:noWrap w:val="0"/>
            <w:vAlign w:val="top"/>
          </w:tcPr>
          <w:p w14:paraId="4CFC5928">
            <w:pPr>
              <w:widowControl/>
              <w:spacing w:line="240" w:lineRule="exact"/>
              <w:jc w:val="center"/>
              <w:rPr>
                <w:bCs/>
                <w:kern w:val="0"/>
                <w:sz w:val="15"/>
                <w:szCs w:val="15"/>
              </w:rPr>
            </w:pPr>
            <w:r>
              <w:rPr>
                <w:rFonts w:hint="eastAsia"/>
                <w:bCs/>
                <w:kern w:val="0"/>
                <w:sz w:val="15"/>
                <w:szCs w:val="15"/>
              </w:rPr>
              <w:t>可燃气管道远离高温、明火</w:t>
            </w:r>
          </w:p>
        </w:tc>
      </w:tr>
      <w:tr w14:paraId="4657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BA3167E">
            <w:r>
              <w:t>11</w:t>
            </w:r>
          </w:p>
        </w:tc>
        <w:tc>
          <w:tcPr>
            <w:tcW w:w="5603" w:type="dxa"/>
            <w:noWrap w:val="0"/>
            <w:vAlign w:val="center"/>
          </w:tcPr>
          <w:p w14:paraId="1D2413EC">
            <w:pPr>
              <w:widowControl/>
              <w:spacing w:line="240" w:lineRule="exact"/>
              <w:jc w:val="left"/>
              <w:rPr>
                <w:kern w:val="0"/>
                <w:szCs w:val="21"/>
              </w:rPr>
            </w:pPr>
            <w:r>
              <w:rPr>
                <w:kern w:val="0"/>
                <w:szCs w:val="21"/>
              </w:rPr>
              <w:t>化学、生物类实验室不得使用可燃性蚊香。</w:t>
            </w:r>
            <w:r>
              <w:rPr>
                <w:rFonts w:hint="eastAsia"/>
                <w:kern w:val="0"/>
                <w:szCs w:val="21"/>
                <w:lang w:eastAsia="zh-CN"/>
              </w:rPr>
              <w:t>其他</w:t>
            </w:r>
            <w:r>
              <w:rPr>
                <w:kern w:val="0"/>
                <w:szCs w:val="21"/>
              </w:rPr>
              <w:t>实验室如需使用，其底盘必须是金属的</w:t>
            </w:r>
          </w:p>
        </w:tc>
        <w:tc>
          <w:tcPr>
            <w:tcW w:w="697" w:type="dxa"/>
            <w:noWrap w:val="0"/>
            <w:vAlign w:val="top"/>
          </w:tcPr>
          <w:p w14:paraId="778EC939">
            <w:pPr>
              <w:widowControl/>
              <w:spacing w:line="240" w:lineRule="exact"/>
              <w:jc w:val="center"/>
              <w:rPr>
                <w:b/>
                <w:bCs/>
                <w:kern w:val="0"/>
                <w:sz w:val="15"/>
                <w:szCs w:val="15"/>
              </w:rPr>
            </w:pPr>
          </w:p>
        </w:tc>
        <w:tc>
          <w:tcPr>
            <w:tcW w:w="720" w:type="dxa"/>
            <w:noWrap w:val="0"/>
            <w:vAlign w:val="top"/>
          </w:tcPr>
          <w:p w14:paraId="211D3E3B">
            <w:pPr>
              <w:widowControl/>
              <w:spacing w:line="240" w:lineRule="exact"/>
              <w:jc w:val="center"/>
              <w:rPr>
                <w:b/>
                <w:bCs/>
                <w:kern w:val="0"/>
                <w:sz w:val="15"/>
                <w:szCs w:val="15"/>
              </w:rPr>
            </w:pPr>
          </w:p>
        </w:tc>
        <w:tc>
          <w:tcPr>
            <w:tcW w:w="1102" w:type="dxa"/>
            <w:noWrap w:val="0"/>
            <w:vAlign w:val="top"/>
          </w:tcPr>
          <w:p w14:paraId="677321EF">
            <w:pPr>
              <w:widowControl/>
              <w:spacing w:line="240" w:lineRule="exact"/>
              <w:jc w:val="center"/>
              <w:rPr>
                <w:b/>
                <w:bCs/>
                <w:kern w:val="0"/>
                <w:sz w:val="15"/>
                <w:szCs w:val="15"/>
              </w:rPr>
            </w:pPr>
          </w:p>
        </w:tc>
      </w:tr>
      <w:tr w14:paraId="084E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06AADC7">
            <w:r>
              <w:t>12</w:t>
            </w:r>
          </w:p>
        </w:tc>
        <w:tc>
          <w:tcPr>
            <w:tcW w:w="5603" w:type="dxa"/>
            <w:noWrap w:val="0"/>
            <w:vAlign w:val="center"/>
          </w:tcPr>
          <w:p w14:paraId="08E6FDBD">
            <w:pPr>
              <w:widowControl/>
              <w:spacing w:line="240" w:lineRule="exact"/>
              <w:jc w:val="left"/>
              <w:rPr>
                <w:kern w:val="0"/>
                <w:szCs w:val="21"/>
              </w:rPr>
            </w:pPr>
            <w:r>
              <w:rPr>
                <w:rFonts w:hint="eastAsia"/>
                <w:kern w:val="0"/>
                <w:szCs w:val="21"/>
              </w:rPr>
              <w:t>具有潜在火灾危险的实验室内应配备合适的灭火设备（烟感报警器、灭火器、 灭火毯、消防沙桶、消防喷淋等），正常有效、方便取用</w:t>
            </w:r>
          </w:p>
        </w:tc>
        <w:tc>
          <w:tcPr>
            <w:tcW w:w="2519" w:type="dxa"/>
            <w:gridSpan w:val="3"/>
            <w:noWrap w:val="0"/>
            <w:vAlign w:val="top"/>
          </w:tcPr>
          <w:p w14:paraId="7FB5851A">
            <w:pPr>
              <w:widowControl/>
              <w:spacing w:line="240" w:lineRule="exact"/>
              <w:jc w:val="center"/>
              <w:rPr>
                <w:bCs/>
                <w:kern w:val="0"/>
                <w:sz w:val="15"/>
                <w:szCs w:val="15"/>
              </w:rPr>
            </w:pPr>
            <w:r>
              <w:rPr>
                <w:rFonts w:hint="eastAsia"/>
                <w:bCs/>
                <w:kern w:val="0"/>
                <w:sz w:val="15"/>
                <w:szCs w:val="15"/>
              </w:rPr>
              <w:t>灭火器种类适合；公共区域灭火器数量（间距）与实验室安全等级相适应</w:t>
            </w:r>
          </w:p>
        </w:tc>
      </w:tr>
      <w:tr w14:paraId="0800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05475A7">
            <w:r>
              <w:t>13</w:t>
            </w:r>
          </w:p>
        </w:tc>
        <w:tc>
          <w:tcPr>
            <w:tcW w:w="5603" w:type="dxa"/>
            <w:noWrap w:val="0"/>
            <w:vAlign w:val="center"/>
          </w:tcPr>
          <w:p w14:paraId="6EE31F01">
            <w:pPr>
              <w:widowControl/>
              <w:spacing w:line="240" w:lineRule="exact"/>
              <w:jc w:val="left"/>
              <w:rPr>
                <w:kern w:val="0"/>
                <w:szCs w:val="21"/>
              </w:rPr>
            </w:pPr>
            <w:r>
              <w:rPr>
                <w:rFonts w:hint="eastAsia"/>
                <w:kern w:val="0"/>
                <w:szCs w:val="21"/>
              </w:rPr>
              <w:t>定期维护应急喷淋与洗眼装置，并有检查记录（每月启动一次阀门，时刻保证管内流水畅通）；每周擦拭洗眼喷头</w:t>
            </w:r>
          </w:p>
        </w:tc>
        <w:tc>
          <w:tcPr>
            <w:tcW w:w="2519" w:type="dxa"/>
            <w:gridSpan w:val="3"/>
            <w:noWrap w:val="0"/>
            <w:vAlign w:val="top"/>
          </w:tcPr>
          <w:p w14:paraId="4A72DA84">
            <w:pPr>
              <w:widowControl/>
              <w:spacing w:line="240" w:lineRule="exact"/>
              <w:jc w:val="center"/>
              <w:rPr>
                <w:b/>
                <w:bCs/>
                <w:kern w:val="0"/>
                <w:sz w:val="15"/>
                <w:szCs w:val="15"/>
              </w:rPr>
            </w:pPr>
            <w:r>
              <w:rPr>
                <w:rFonts w:hint="eastAsia"/>
                <w:bCs/>
                <w:kern w:val="0"/>
                <w:sz w:val="15"/>
                <w:szCs w:val="15"/>
              </w:rPr>
              <w:t>查看维护记录、无锈水脏水</w:t>
            </w:r>
          </w:p>
        </w:tc>
      </w:tr>
      <w:tr w14:paraId="333B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64E8120">
            <w:r>
              <w:t>14</w:t>
            </w:r>
          </w:p>
        </w:tc>
        <w:tc>
          <w:tcPr>
            <w:tcW w:w="5603" w:type="dxa"/>
            <w:noWrap w:val="0"/>
            <w:vAlign w:val="center"/>
          </w:tcPr>
          <w:p w14:paraId="497A265E">
            <w:pPr>
              <w:widowControl/>
              <w:spacing w:line="240" w:lineRule="exact"/>
              <w:jc w:val="left"/>
              <w:rPr>
                <w:kern w:val="0"/>
                <w:szCs w:val="21"/>
              </w:rPr>
            </w:pPr>
            <w:r>
              <w:rPr>
                <w:rFonts w:hint="eastAsia"/>
                <w:szCs w:val="21"/>
              </w:rPr>
              <w:t>任何可能产生高浓度有害气体而导致个人</w:t>
            </w:r>
            <w:r>
              <w:rPr>
                <w:rFonts w:hint="eastAsia"/>
                <w:szCs w:val="21"/>
                <w:lang w:eastAsia="zh-CN"/>
              </w:rPr>
              <w:t>暴露</w:t>
            </w:r>
            <w:r>
              <w:rPr>
                <w:rFonts w:hint="eastAsia"/>
                <w:szCs w:val="21"/>
              </w:rPr>
              <w:t>或产生可燃、可爆炸气体或蒸汽而导致积聚的实验，都应在通风橱内进行</w:t>
            </w:r>
          </w:p>
        </w:tc>
        <w:tc>
          <w:tcPr>
            <w:tcW w:w="2519" w:type="dxa"/>
            <w:gridSpan w:val="3"/>
            <w:noWrap w:val="0"/>
            <w:vAlign w:val="top"/>
          </w:tcPr>
          <w:p w14:paraId="5CFD0CE0">
            <w:pPr>
              <w:widowControl/>
              <w:spacing w:line="240" w:lineRule="exact"/>
              <w:jc w:val="center"/>
              <w:rPr>
                <w:bCs/>
                <w:kern w:val="0"/>
                <w:sz w:val="15"/>
                <w:szCs w:val="15"/>
              </w:rPr>
            </w:pPr>
            <w:r>
              <w:rPr>
                <w:rFonts w:hint="eastAsia"/>
                <w:bCs/>
                <w:kern w:val="0"/>
                <w:sz w:val="15"/>
                <w:szCs w:val="15"/>
              </w:rPr>
              <w:t>查看现场</w:t>
            </w:r>
          </w:p>
        </w:tc>
      </w:tr>
      <w:tr w14:paraId="22E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8E05D4F">
            <w:r>
              <w:t>15</w:t>
            </w:r>
          </w:p>
        </w:tc>
        <w:tc>
          <w:tcPr>
            <w:tcW w:w="5603" w:type="dxa"/>
            <w:noWrap w:val="0"/>
            <w:vAlign w:val="center"/>
          </w:tcPr>
          <w:p w14:paraId="326FD089">
            <w:pPr>
              <w:widowControl/>
              <w:spacing w:line="240" w:lineRule="exact"/>
              <w:jc w:val="left"/>
              <w:rPr>
                <w:kern w:val="0"/>
                <w:szCs w:val="21"/>
              </w:rPr>
            </w:pPr>
            <w:r>
              <w:rPr>
                <w:rFonts w:hint="eastAsia"/>
                <w:kern w:val="0"/>
                <w:szCs w:val="21"/>
              </w:rPr>
              <w:t>对于产生可燃气体或</w:t>
            </w:r>
            <w:r>
              <w:rPr>
                <w:rFonts w:hint="eastAsia"/>
                <w:kern w:val="0"/>
                <w:szCs w:val="21"/>
                <w:lang w:eastAsia="zh-CN"/>
              </w:rPr>
              <w:t>蒸汽</w:t>
            </w:r>
            <w:r>
              <w:rPr>
                <w:rFonts w:hint="eastAsia"/>
                <w:kern w:val="0"/>
                <w:szCs w:val="21"/>
              </w:rPr>
              <w:t>的装置，应在其进、出口处安装阻火器。室内应加强通风，以使爆炸物浓度控制在爆炸下限值以下</w:t>
            </w:r>
          </w:p>
        </w:tc>
        <w:tc>
          <w:tcPr>
            <w:tcW w:w="2519" w:type="dxa"/>
            <w:gridSpan w:val="3"/>
            <w:noWrap w:val="0"/>
            <w:vAlign w:val="top"/>
          </w:tcPr>
          <w:p w14:paraId="4DACF121">
            <w:pPr>
              <w:widowControl/>
              <w:spacing w:line="240" w:lineRule="exact"/>
              <w:jc w:val="center"/>
              <w:rPr>
                <w:bCs/>
                <w:kern w:val="0"/>
                <w:sz w:val="15"/>
                <w:szCs w:val="15"/>
              </w:rPr>
            </w:pPr>
            <w:r>
              <w:rPr>
                <w:rFonts w:hint="eastAsia"/>
                <w:bCs/>
                <w:kern w:val="0"/>
                <w:sz w:val="15"/>
                <w:szCs w:val="15"/>
              </w:rPr>
              <w:t>查看现场</w:t>
            </w:r>
          </w:p>
        </w:tc>
      </w:tr>
      <w:tr w14:paraId="0155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9CB6A92">
            <w:r>
              <w:t>16</w:t>
            </w:r>
          </w:p>
        </w:tc>
        <w:tc>
          <w:tcPr>
            <w:tcW w:w="5603" w:type="dxa"/>
            <w:noWrap w:val="0"/>
            <w:vAlign w:val="center"/>
          </w:tcPr>
          <w:p w14:paraId="4D5723D1">
            <w:pPr>
              <w:widowControl/>
              <w:spacing w:line="240" w:lineRule="exact"/>
              <w:jc w:val="left"/>
              <w:rPr>
                <w:kern w:val="0"/>
                <w:szCs w:val="21"/>
              </w:rPr>
            </w:pPr>
            <w:r>
              <w:rPr>
                <w:rFonts w:hint="eastAsia"/>
                <w:kern w:val="0"/>
                <w:szCs w:val="21"/>
              </w:rPr>
              <w:t>对于有爆炸危险性的仪器设备，应使用合适的安全罩防护。</w:t>
            </w:r>
          </w:p>
        </w:tc>
        <w:tc>
          <w:tcPr>
            <w:tcW w:w="2519" w:type="dxa"/>
            <w:gridSpan w:val="3"/>
            <w:noWrap w:val="0"/>
            <w:vAlign w:val="top"/>
          </w:tcPr>
          <w:p w14:paraId="4E6947C1">
            <w:pPr>
              <w:widowControl/>
              <w:spacing w:line="240" w:lineRule="exact"/>
              <w:jc w:val="center"/>
              <w:rPr>
                <w:bCs/>
                <w:kern w:val="0"/>
                <w:sz w:val="15"/>
                <w:szCs w:val="15"/>
              </w:rPr>
            </w:pPr>
            <w:r>
              <w:rPr>
                <w:rFonts w:hint="eastAsia"/>
                <w:bCs/>
                <w:kern w:val="0"/>
                <w:sz w:val="15"/>
                <w:szCs w:val="15"/>
              </w:rPr>
              <w:t>查看现场</w:t>
            </w:r>
          </w:p>
        </w:tc>
      </w:tr>
      <w:tr w14:paraId="790E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1887D21">
            <w:r>
              <w:t>17</w:t>
            </w:r>
          </w:p>
        </w:tc>
        <w:tc>
          <w:tcPr>
            <w:tcW w:w="5603" w:type="dxa"/>
            <w:noWrap w:val="0"/>
            <w:vAlign w:val="center"/>
          </w:tcPr>
          <w:p w14:paraId="70528965">
            <w:pPr>
              <w:widowControl/>
              <w:spacing w:line="240" w:lineRule="exact"/>
              <w:jc w:val="left"/>
              <w:rPr>
                <w:kern w:val="0"/>
                <w:szCs w:val="21"/>
              </w:rPr>
            </w:pPr>
            <w:r>
              <w:rPr>
                <w:rFonts w:hint="eastAsia"/>
                <w:kern w:val="0"/>
                <w:szCs w:val="21"/>
              </w:rPr>
              <w:t>实验室和电气设备应配备空气开关和漏电保护器，且应满足负荷和分断要求</w:t>
            </w:r>
          </w:p>
        </w:tc>
        <w:tc>
          <w:tcPr>
            <w:tcW w:w="2519" w:type="dxa"/>
            <w:gridSpan w:val="3"/>
            <w:noWrap w:val="0"/>
            <w:vAlign w:val="top"/>
          </w:tcPr>
          <w:p w14:paraId="140658D0">
            <w:pPr>
              <w:widowControl/>
              <w:spacing w:line="240" w:lineRule="exact"/>
              <w:jc w:val="center"/>
              <w:rPr>
                <w:bCs/>
                <w:kern w:val="0"/>
                <w:sz w:val="15"/>
                <w:szCs w:val="15"/>
              </w:rPr>
            </w:pPr>
            <w:r>
              <w:rPr>
                <w:rFonts w:hint="eastAsia"/>
                <w:bCs/>
                <w:kern w:val="0"/>
                <w:sz w:val="15"/>
                <w:szCs w:val="15"/>
              </w:rPr>
              <w:t>现场查看</w:t>
            </w:r>
          </w:p>
        </w:tc>
      </w:tr>
      <w:tr w14:paraId="24B8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0BCF078">
            <w:r>
              <w:t>18</w:t>
            </w:r>
          </w:p>
        </w:tc>
        <w:tc>
          <w:tcPr>
            <w:tcW w:w="5603" w:type="dxa"/>
            <w:noWrap w:val="0"/>
            <w:vAlign w:val="center"/>
          </w:tcPr>
          <w:p w14:paraId="5148986E">
            <w:pPr>
              <w:widowControl/>
              <w:spacing w:line="240" w:lineRule="exact"/>
              <w:jc w:val="left"/>
              <w:rPr>
                <w:kern w:val="0"/>
                <w:szCs w:val="21"/>
              </w:rPr>
            </w:pPr>
            <w:r>
              <w:rPr>
                <w:rFonts w:hint="eastAsia"/>
                <w:kern w:val="0"/>
                <w:szCs w:val="21"/>
              </w:rPr>
              <w:t>实验室电容量、插头插座与用电设备功率需匹配，不得私自改装；电源插座须固定。</w:t>
            </w:r>
          </w:p>
        </w:tc>
        <w:tc>
          <w:tcPr>
            <w:tcW w:w="2519" w:type="dxa"/>
            <w:gridSpan w:val="3"/>
            <w:noWrap w:val="0"/>
            <w:vAlign w:val="top"/>
          </w:tcPr>
          <w:p w14:paraId="139324EC">
            <w:pPr>
              <w:widowControl/>
              <w:spacing w:line="240" w:lineRule="exact"/>
              <w:jc w:val="center"/>
              <w:rPr>
                <w:bCs/>
                <w:kern w:val="0"/>
                <w:sz w:val="15"/>
                <w:szCs w:val="15"/>
              </w:rPr>
            </w:pPr>
            <w:r>
              <w:rPr>
                <w:rFonts w:hint="eastAsia"/>
                <w:bCs/>
                <w:kern w:val="0"/>
                <w:sz w:val="15"/>
                <w:szCs w:val="15"/>
              </w:rPr>
              <w:t>用电功率匹配</w:t>
            </w:r>
          </w:p>
        </w:tc>
      </w:tr>
      <w:tr w14:paraId="5D03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92261EF">
            <w:r>
              <w:t>19</w:t>
            </w:r>
          </w:p>
        </w:tc>
        <w:tc>
          <w:tcPr>
            <w:tcW w:w="5603" w:type="dxa"/>
            <w:noWrap w:val="0"/>
            <w:vAlign w:val="center"/>
          </w:tcPr>
          <w:p w14:paraId="45C2CCC4">
            <w:pPr>
              <w:widowControl/>
              <w:spacing w:line="240" w:lineRule="exact"/>
              <w:jc w:val="left"/>
              <w:rPr>
                <w:kern w:val="0"/>
                <w:szCs w:val="21"/>
              </w:rPr>
            </w:pPr>
            <w:r>
              <w:rPr>
                <w:rFonts w:hint="eastAsia"/>
                <w:kern w:val="0"/>
                <w:szCs w:val="21"/>
              </w:rPr>
              <w:t>不私自乱拉乱接电线电缆，不使用老化的线缆、花线和木质配电板</w:t>
            </w:r>
          </w:p>
        </w:tc>
        <w:tc>
          <w:tcPr>
            <w:tcW w:w="697" w:type="dxa"/>
            <w:noWrap w:val="0"/>
            <w:vAlign w:val="top"/>
          </w:tcPr>
          <w:p w14:paraId="29A14572">
            <w:pPr>
              <w:widowControl/>
              <w:spacing w:line="240" w:lineRule="exact"/>
              <w:jc w:val="center"/>
              <w:rPr>
                <w:b/>
                <w:bCs/>
                <w:kern w:val="0"/>
                <w:sz w:val="15"/>
                <w:szCs w:val="15"/>
              </w:rPr>
            </w:pPr>
          </w:p>
        </w:tc>
        <w:tc>
          <w:tcPr>
            <w:tcW w:w="720" w:type="dxa"/>
            <w:noWrap w:val="0"/>
            <w:vAlign w:val="top"/>
          </w:tcPr>
          <w:p w14:paraId="18354F70">
            <w:pPr>
              <w:widowControl/>
              <w:spacing w:line="240" w:lineRule="exact"/>
              <w:jc w:val="center"/>
              <w:rPr>
                <w:b/>
                <w:bCs/>
                <w:kern w:val="0"/>
                <w:sz w:val="15"/>
                <w:szCs w:val="15"/>
              </w:rPr>
            </w:pPr>
          </w:p>
        </w:tc>
        <w:tc>
          <w:tcPr>
            <w:tcW w:w="1102" w:type="dxa"/>
            <w:noWrap w:val="0"/>
            <w:vAlign w:val="top"/>
          </w:tcPr>
          <w:p w14:paraId="0CD4DD4E">
            <w:pPr>
              <w:widowControl/>
              <w:spacing w:line="240" w:lineRule="exact"/>
              <w:jc w:val="center"/>
              <w:rPr>
                <w:b/>
                <w:bCs/>
                <w:kern w:val="0"/>
                <w:sz w:val="15"/>
                <w:szCs w:val="15"/>
              </w:rPr>
            </w:pPr>
          </w:p>
        </w:tc>
      </w:tr>
      <w:tr w14:paraId="3A5E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01BDBFB">
            <w:r>
              <w:t>20</w:t>
            </w:r>
          </w:p>
        </w:tc>
        <w:tc>
          <w:tcPr>
            <w:tcW w:w="5603" w:type="dxa"/>
            <w:noWrap w:val="0"/>
            <w:vAlign w:val="center"/>
          </w:tcPr>
          <w:p w14:paraId="5B202CA9">
            <w:pPr>
              <w:widowControl/>
              <w:spacing w:line="240" w:lineRule="exact"/>
              <w:jc w:val="left"/>
              <w:rPr>
                <w:kern w:val="0"/>
                <w:szCs w:val="21"/>
              </w:rPr>
            </w:pPr>
            <w:r>
              <w:rPr>
                <w:rFonts w:hint="eastAsia"/>
                <w:kern w:val="0"/>
                <w:szCs w:val="21"/>
              </w:rPr>
              <w:t>禁止多个接线板串接供电，接线板不宜直接置于地面</w:t>
            </w:r>
          </w:p>
        </w:tc>
        <w:tc>
          <w:tcPr>
            <w:tcW w:w="697" w:type="dxa"/>
            <w:noWrap w:val="0"/>
            <w:vAlign w:val="top"/>
          </w:tcPr>
          <w:p w14:paraId="57B2D74C">
            <w:pPr>
              <w:widowControl/>
              <w:spacing w:line="240" w:lineRule="exact"/>
              <w:jc w:val="center"/>
              <w:rPr>
                <w:b/>
                <w:bCs/>
                <w:kern w:val="0"/>
                <w:sz w:val="15"/>
                <w:szCs w:val="15"/>
              </w:rPr>
            </w:pPr>
          </w:p>
        </w:tc>
        <w:tc>
          <w:tcPr>
            <w:tcW w:w="720" w:type="dxa"/>
            <w:noWrap w:val="0"/>
            <w:vAlign w:val="top"/>
          </w:tcPr>
          <w:p w14:paraId="53AF9DD1">
            <w:pPr>
              <w:widowControl/>
              <w:spacing w:line="240" w:lineRule="exact"/>
              <w:jc w:val="center"/>
              <w:rPr>
                <w:b/>
                <w:bCs/>
                <w:kern w:val="0"/>
                <w:sz w:val="15"/>
                <w:szCs w:val="15"/>
              </w:rPr>
            </w:pPr>
          </w:p>
        </w:tc>
        <w:tc>
          <w:tcPr>
            <w:tcW w:w="1102" w:type="dxa"/>
            <w:noWrap w:val="0"/>
            <w:vAlign w:val="top"/>
          </w:tcPr>
          <w:p w14:paraId="2F6810FA">
            <w:pPr>
              <w:widowControl/>
              <w:spacing w:line="240" w:lineRule="exact"/>
              <w:jc w:val="center"/>
              <w:rPr>
                <w:b/>
                <w:bCs/>
                <w:kern w:val="0"/>
                <w:sz w:val="15"/>
                <w:szCs w:val="15"/>
              </w:rPr>
            </w:pPr>
          </w:p>
        </w:tc>
      </w:tr>
      <w:tr w14:paraId="0EF3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93FE845">
            <w:r>
              <w:t>21</w:t>
            </w:r>
          </w:p>
        </w:tc>
        <w:tc>
          <w:tcPr>
            <w:tcW w:w="5603" w:type="dxa"/>
            <w:noWrap w:val="0"/>
            <w:vAlign w:val="center"/>
          </w:tcPr>
          <w:p w14:paraId="4B22A70C">
            <w:pPr>
              <w:widowControl/>
              <w:spacing w:line="240" w:lineRule="exact"/>
              <w:jc w:val="left"/>
              <w:rPr>
                <w:kern w:val="0"/>
                <w:szCs w:val="21"/>
              </w:rPr>
            </w:pPr>
            <w:r>
              <w:rPr>
                <w:kern w:val="0"/>
                <w:szCs w:val="21"/>
              </w:rPr>
              <w:t>大功率仪器（包括空调等）有专用插座，用电负荷满足要求；长期不用时，应拔出电源插头</w:t>
            </w:r>
          </w:p>
        </w:tc>
        <w:tc>
          <w:tcPr>
            <w:tcW w:w="697" w:type="dxa"/>
            <w:noWrap w:val="0"/>
            <w:vAlign w:val="top"/>
          </w:tcPr>
          <w:p w14:paraId="1C1D9FFD">
            <w:pPr>
              <w:widowControl/>
              <w:spacing w:line="240" w:lineRule="exact"/>
              <w:jc w:val="center"/>
              <w:rPr>
                <w:b/>
                <w:bCs/>
                <w:kern w:val="0"/>
                <w:sz w:val="15"/>
                <w:szCs w:val="15"/>
              </w:rPr>
            </w:pPr>
          </w:p>
        </w:tc>
        <w:tc>
          <w:tcPr>
            <w:tcW w:w="720" w:type="dxa"/>
            <w:noWrap w:val="0"/>
            <w:vAlign w:val="top"/>
          </w:tcPr>
          <w:p w14:paraId="2F2C3C1A">
            <w:pPr>
              <w:widowControl/>
              <w:spacing w:line="240" w:lineRule="exact"/>
              <w:jc w:val="center"/>
              <w:rPr>
                <w:b/>
                <w:bCs/>
                <w:kern w:val="0"/>
                <w:sz w:val="15"/>
                <w:szCs w:val="15"/>
              </w:rPr>
            </w:pPr>
          </w:p>
        </w:tc>
        <w:tc>
          <w:tcPr>
            <w:tcW w:w="1102" w:type="dxa"/>
            <w:noWrap w:val="0"/>
            <w:vAlign w:val="top"/>
          </w:tcPr>
          <w:p w14:paraId="3A19FF1E">
            <w:pPr>
              <w:widowControl/>
              <w:spacing w:line="240" w:lineRule="exact"/>
              <w:jc w:val="center"/>
              <w:rPr>
                <w:b/>
                <w:bCs/>
                <w:kern w:val="0"/>
                <w:sz w:val="15"/>
                <w:szCs w:val="15"/>
              </w:rPr>
            </w:pPr>
          </w:p>
        </w:tc>
      </w:tr>
      <w:tr w14:paraId="668D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AC362D3">
            <w:r>
              <w:t>22</w:t>
            </w:r>
          </w:p>
        </w:tc>
        <w:tc>
          <w:tcPr>
            <w:tcW w:w="5603" w:type="dxa"/>
            <w:noWrap w:val="0"/>
            <w:vAlign w:val="center"/>
          </w:tcPr>
          <w:p w14:paraId="0E178097">
            <w:pPr>
              <w:widowControl/>
              <w:spacing w:line="240" w:lineRule="exact"/>
              <w:jc w:val="left"/>
              <w:rPr>
                <w:kern w:val="0"/>
                <w:szCs w:val="21"/>
              </w:rPr>
            </w:pPr>
            <w:r>
              <w:rPr>
                <w:rFonts w:hint="eastAsia"/>
                <w:kern w:val="0"/>
                <w:szCs w:val="21"/>
              </w:rPr>
              <w:t>无人监管状态下，应切断充电器（宝）的充电电源</w:t>
            </w:r>
          </w:p>
        </w:tc>
        <w:tc>
          <w:tcPr>
            <w:tcW w:w="697" w:type="dxa"/>
            <w:noWrap w:val="0"/>
            <w:vAlign w:val="top"/>
          </w:tcPr>
          <w:p w14:paraId="6A693D2C">
            <w:pPr>
              <w:widowControl/>
              <w:spacing w:line="240" w:lineRule="exact"/>
              <w:jc w:val="center"/>
              <w:rPr>
                <w:b/>
                <w:bCs/>
                <w:kern w:val="0"/>
                <w:sz w:val="15"/>
                <w:szCs w:val="15"/>
              </w:rPr>
            </w:pPr>
          </w:p>
        </w:tc>
        <w:tc>
          <w:tcPr>
            <w:tcW w:w="720" w:type="dxa"/>
            <w:noWrap w:val="0"/>
            <w:vAlign w:val="top"/>
          </w:tcPr>
          <w:p w14:paraId="0F47E7E4">
            <w:pPr>
              <w:widowControl/>
              <w:spacing w:line="240" w:lineRule="exact"/>
              <w:jc w:val="center"/>
              <w:rPr>
                <w:b/>
                <w:bCs/>
                <w:kern w:val="0"/>
                <w:sz w:val="15"/>
                <w:szCs w:val="15"/>
              </w:rPr>
            </w:pPr>
          </w:p>
        </w:tc>
        <w:tc>
          <w:tcPr>
            <w:tcW w:w="1102" w:type="dxa"/>
            <w:noWrap w:val="0"/>
            <w:vAlign w:val="top"/>
          </w:tcPr>
          <w:p w14:paraId="551E56ED">
            <w:pPr>
              <w:widowControl/>
              <w:spacing w:line="240" w:lineRule="exact"/>
              <w:jc w:val="center"/>
              <w:rPr>
                <w:b/>
                <w:bCs/>
                <w:kern w:val="0"/>
                <w:sz w:val="15"/>
                <w:szCs w:val="15"/>
              </w:rPr>
            </w:pPr>
          </w:p>
        </w:tc>
      </w:tr>
      <w:tr w14:paraId="0E6D7519">
        <w:tblPrEx>
          <w:tblCellMar>
            <w:top w:w="0" w:type="dxa"/>
            <w:left w:w="108" w:type="dxa"/>
            <w:bottom w:w="0" w:type="dxa"/>
            <w:right w:w="108" w:type="dxa"/>
          </w:tblCellMar>
        </w:tblPrEx>
        <w:tc>
          <w:tcPr>
            <w:tcW w:w="828" w:type="dxa"/>
            <w:noWrap w:val="0"/>
            <w:vAlign w:val="top"/>
          </w:tcPr>
          <w:p w14:paraId="3202ACED">
            <w:r>
              <w:t>23</w:t>
            </w:r>
          </w:p>
        </w:tc>
        <w:tc>
          <w:tcPr>
            <w:tcW w:w="5603" w:type="dxa"/>
            <w:noWrap w:val="0"/>
            <w:vAlign w:val="center"/>
          </w:tcPr>
          <w:p w14:paraId="01A313BB">
            <w:pPr>
              <w:widowControl/>
              <w:spacing w:line="240" w:lineRule="exact"/>
              <w:jc w:val="left"/>
              <w:rPr>
                <w:kern w:val="0"/>
                <w:szCs w:val="21"/>
              </w:rPr>
            </w:pPr>
            <w:r>
              <w:rPr>
                <w:kern w:val="0"/>
                <w:szCs w:val="21"/>
              </w:rPr>
              <w:t>水槽边不安装电源插座，如确实需要，应有防护挡板或防护罩</w:t>
            </w:r>
          </w:p>
        </w:tc>
        <w:tc>
          <w:tcPr>
            <w:tcW w:w="697" w:type="dxa"/>
            <w:noWrap w:val="0"/>
            <w:vAlign w:val="top"/>
          </w:tcPr>
          <w:p w14:paraId="067F60F1">
            <w:pPr>
              <w:widowControl/>
              <w:spacing w:line="240" w:lineRule="exact"/>
              <w:jc w:val="center"/>
              <w:rPr>
                <w:b/>
                <w:bCs/>
                <w:kern w:val="0"/>
                <w:sz w:val="15"/>
                <w:szCs w:val="15"/>
              </w:rPr>
            </w:pPr>
          </w:p>
        </w:tc>
        <w:tc>
          <w:tcPr>
            <w:tcW w:w="720" w:type="dxa"/>
            <w:noWrap w:val="0"/>
            <w:vAlign w:val="top"/>
          </w:tcPr>
          <w:p w14:paraId="4CB2CE8F">
            <w:pPr>
              <w:widowControl/>
              <w:spacing w:line="240" w:lineRule="exact"/>
              <w:jc w:val="center"/>
              <w:rPr>
                <w:b/>
                <w:bCs/>
                <w:kern w:val="0"/>
                <w:sz w:val="15"/>
                <w:szCs w:val="15"/>
              </w:rPr>
            </w:pPr>
          </w:p>
        </w:tc>
        <w:tc>
          <w:tcPr>
            <w:tcW w:w="1102" w:type="dxa"/>
            <w:noWrap w:val="0"/>
            <w:vAlign w:val="top"/>
          </w:tcPr>
          <w:p w14:paraId="12E75782">
            <w:pPr>
              <w:widowControl/>
              <w:spacing w:line="240" w:lineRule="exact"/>
              <w:jc w:val="center"/>
              <w:rPr>
                <w:b/>
                <w:bCs/>
                <w:kern w:val="0"/>
                <w:sz w:val="15"/>
                <w:szCs w:val="15"/>
              </w:rPr>
            </w:pPr>
          </w:p>
        </w:tc>
      </w:tr>
      <w:tr w14:paraId="362E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B7A0A5C">
            <w:r>
              <w:t>24</w:t>
            </w:r>
          </w:p>
        </w:tc>
        <w:tc>
          <w:tcPr>
            <w:tcW w:w="5603" w:type="dxa"/>
            <w:noWrap w:val="0"/>
            <w:vAlign w:val="center"/>
          </w:tcPr>
          <w:p w14:paraId="15301788">
            <w:pPr>
              <w:widowControl/>
              <w:spacing w:line="240" w:lineRule="exact"/>
              <w:jc w:val="left"/>
              <w:rPr>
                <w:kern w:val="0"/>
                <w:szCs w:val="21"/>
              </w:rPr>
            </w:pPr>
            <w:r>
              <w:rPr>
                <w:rFonts w:hint="eastAsia"/>
                <w:kern w:val="0"/>
                <w:szCs w:val="21"/>
              </w:rPr>
              <w:t>配电柜/箱无物品遮挡并便于操作；配电箱、开关、插座等周围无易燃易爆物品堆放</w:t>
            </w:r>
          </w:p>
        </w:tc>
        <w:tc>
          <w:tcPr>
            <w:tcW w:w="697" w:type="dxa"/>
            <w:noWrap w:val="0"/>
            <w:vAlign w:val="top"/>
          </w:tcPr>
          <w:p w14:paraId="423C2EE5">
            <w:pPr>
              <w:widowControl/>
              <w:spacing w:line="240" w:lineRule="exact"/>
              <w:jc w:val="center"/>
              <w:rPr>
                <w:b/>
                <w:bCs/>
                <w:kern w:val="0"/>
                <w:sz w:val="15"/>
                <w:szCs w:val="15"/>
              </w:rPr>
            </w:pPr>
          </w:p>
        </w:tc>
        <w:tc>
          <w:tcPr>
            <w:tcW w:w="720" w:type="dxa"/>
            <w:noWrap w:val="0"/>
            <w:vAlign w:val="top"/>
          </w:tcPr>
          <w:p w14:paraId="0F3CD6B9">
            <w:pPr>
              <w:widowControl/>
              <w:spacing w:line="240" w:lineRule="exact"/>
              <w:jc w:val="center"/>
              <w:rPr>
                <w:b/>
                <w:bCs/>
                <w:kern w:val="0"/>
                <w:sz w:val="15"/>
                <w:szCs w:val="15"/>
              </w:rPr>
            </w:pPr>
          </w:p>
        </w:tc>
        <w:tc>
          <w:tcPr>
            <w:tcW w:w="1102" w:type="dxa"/>
            <w:noWrap w:val="0"/>
            <w:vAlign w:val="top"/>
          </w:tcPr>
          <w:p w14:paraId="0A4A76A8">
            <w:pPr>
              <w:widowControl/>
              <w:spacing w:line="240" w:lineRule="exact"/>
              <w:jc w:val="center"/>
              <w:rPr>
                <w:b/>
                <w:bCs/>
                <w:kern w:val="0"/>
                <w:sz w:val="15"/>
                <w:szCs w:val="15"/>
              </w:rPr>
            </w:pPr>
          </w:p>
        </w:tc>
      </w:tr>
      <w:tr w14:paraId="7569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0C8E060">
            <w:r>
              <w:t>25</w:t>
            </w:r>
          </w:p>
        </w:tc>
        <w:tc>
          <w:tcPr>
            <w:tcW w:w="5603" w:type="dxa"/>
            <w:noWrap w:val="0"/>
            <w:vAlign w:val="center"/>
          </w:tcPr>
          <w:p w14:paraId="1F6D5033">
            <w:pPr>
              <w:widowControl/>
              <w:spacing w:line="240" w:lineRule="exact"/>
              <w:jc w:val="left"/>
              <w:rPr>
                <w:kern w:val="0"/>
                <w:szCs w:val="21"/>
              </w:rPr>
            </w:pPr>
            <w:r>
              <w:rPr>
                <w:kern w:val="0"/>
                <w:szCs w:val="21"/>
              </w:rPr>
              <w:t>电线接头绝缘可靠，无裸露连接线，地板上的导线应有盖板或护套</w:t>
            </w:r>
          </w:p>
        </w:tc>
        <w:tc>
          <w:tcPr>
            <w:tcW w:w="697" w:type="dxa"/>
            <w:noWrap w:val="0"/>
            <w:vAlign w:val="top"/>
          </w:tcPr>
          <w:p w14:paraId="2695C9CA">
            <w:pPr>
              <w:widowControl/>
              <w:spacing w:line="240" w:lineRule="exact"/>
              <w:jc w:val="center"/>
              <w:rPr>
                <w:b/>
                <w:bCs/>
                <w:kern w:val="0"/>
                <w:sz w:val="15"/>
                <w:szCs w:val="15"/>
              </w:rPr>
            </w:pPr>
          </w:p>
        </w:tc>
        <w:tc>
          <w:tcPr>
            <w:tcW w:w="720" w:type="dxa"/>
            <w:noWrap w:val="0"/>
            <w:vAlign w:val="top"/>
          </w:tcPr>
          <w:p w14:paraId="4BA3975E">
            <w:pPr>
              <w:widowControl/>
              <w:spacing w:line="240" w:lineRule="exact"/>
              <w:jc w:val="center"/>
              <w:rPr>
                <w:b/>
                <w:bCs/>
                <w:kern w:val="0"/>
                <w:sz w:val="15"/>
                <w:szCs w:val="15"/>
              </w:rPr>
            </w:pPr>
          </w:p>
        </w:tc>
        <w:tc>
          <w:tcPr>
            <w:tcW w:w="1102" w:type="dxa"/>
            <w:noWrap w:val="0"/>
            <w:vAlign w:val="top"/>
          </w:tcPr>
          <w:p w14:paraId="617B0167">
            <w:pPr>
              <w:widowControl/>
              <w:spacing w:line="240" w:lineRule="exact"/>
              <w:jc w:val="center"/>
              <w:rPr>
                <w:b/>
                <w:bCs/>
                <w:kern w:val="0"/>
                <w:sz w:val="15"/>
                <w:szCs w:val="15"/>
              </w:rPr>
            </w:pPr>
          </w:p>
        </w:tc>
      </w:tr>
      <w:tr w14:paraId="2A69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D4062A3">
            <w:r>
              <w:t>26</w:t>
            </w:r>
          </w:p>
        </w:tc>
        <w:tc>
          <w:tcPr>
            <w:tcW w:w="5603" w:type="dxa"/>
            <w:noWrap w:val="0"/>
            <w:vAlign w:val="center"/>
          </w:tcPr>
          <w:p w14:paraId="6C1A7729">
            <w:pPr>
              <w:widowControl/>
              <w:spacing w:line="240" w:lineRule="exact"/>
              <w:jc w:val="left"/>
              <w:rPr>
                <w:kern w:val="0"/>
                <w:szCs w:val="21"/>
              </w:rPr>
            </w:pPr>
            <w:r>
              <w:rPr>
                <w:kern w:val="0"/>
                <w:szCs w:val="21"/>
              </w:rPr>
              <w:t>加热器采用耐高温阻燃导线</w:t>
            </w:r>
          </w:p>
        </w:tc>
        <w:tc>
          <w:tcPr>
            <w:tcW w:w="697" w:type="dxa"/>
            <w:noWrap w:val="0"/>
            <w:vAlign w:val="top"/>
          </w:tcPr>
          <w:p w14:paraId="61D19848">
            <w:pPr>
              <w:widowControl/>
              <w:spacing w:line="240" w:lineRule="exact"/>
              <w:jc w:val="center"/>
              <w:rPr>
                <w:b/>
                <w:bCs/>
                <w:kern w:val="0"/>
                <w:sz w:val="15"/>
                <w:szCs w:val="15"/>
              </w:rPr>
            </w:pPr>
          </w:p>
        </w:tc>
        <w:tc>
          <w:tcPr>
            <w:tcW w:w="720" w:type="dxa"/>
            <w:noWrap w:val="0"/>
            <w:vAlign w:val="top"/>
          </w:tcPr>
          <w:p w14:paraId="072FF282">
            <w:pPr>
              <w:widowControl/>
              <w:spacing w:line="240" w:lineRule="exact"/>
              <w:jc w:val="center"/>
              <w:rPr>
                <w:b/>
                <w:bCs/>
                <w:kern w:val="0"/>
                <w:sz w:val="15"/>
                <w:szCs w:val="15"/>
              </w:rPr>
            </w:pPr>
          </w:p>
        </w:tc>
        <w:tc>
          <w:tcPr>
            <w:tcW w:w="1102" w:type="dxa"/>
            <w:noWrap w:val="0"/>
            <w:vAlign w:val="top"/>
          </w:tcPr>
          <w:p w14:paraId="4B35BE12">
            <w:pPr>
              <w:widowControl/>
              <w:spacing w:line="240" w:lineRule="exact"/>
              <w:jc w:val="center"/>
              <w:rPr>
                <w:b/>
                <w:bCs/>
                <w:kern w:val="0"/>
                <w:sz w:val="15"/>
                <w:szCs w:val="15"/>
              </w:rPr>
            </w:pPr>
          </w:p>
        </w:tc>
      </w:tr>
      <w:tr w14:paraId="0CAC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A5B13F5">
            <w:r>
              <w:t>27</w:t>
            </w:r>
          </w:p>
        </w:tc>
        <w:tc>
          <w:tcPr>
            <w:tcW w:w="5603" w:type="dxa"/>
            <w:noWrap w:val="0"/>
            <w:vAlign w:val="center"/>
          </w:tcPr>
          <w:p w14:paraId="564241E9">
            <w:pPr>
              <w:widowControl/>
              <w:spacing w:line="240" w:lineRule="exact"/>
              <w:jc w:val="left"/>
              <w:rPr>
                <w:kern w:val="0"/>
                <w:szCs w:val="21"/>
              </w:rPr>
            </w:pPr>
            <w:r>
              <w:rPr>
                <w:rFonts w:hint="eastAsia"/>
                <w:kern w:val="0"/>
                <w:szCs w:val="21"/>
              </w:rPr>
              <w:t>易燃易爆气体等特殊实验室的电器线路和用电装置应按相关规定使用防爆电气线路和装置</w:t>
            </w:r>
          </w:p>
        </w:tc>
        <w:tc>
          <w:tcPr>
            <w:tcW w:w="697" w:type="dxa"/>
            <w:noWrap w:val="0"/>
            <w:vAlign w:val="top"/>
          </w:tcPr>
          <w:p w14:paraId="0A4FD16A">
            <w:pPr>
              <w:widowControl/>
              <w:spacing w:line="240" w:lineRule="exact"/>
              <w:jc w:val="center"/>
              <w:rPr>
                <w:b/>
                <w:bCs/>
                <w:kern w:val="0"/>
                <w:sz w:val="15"/>
                <w:szCs w:val="15"/>
              </w:rPr>
            </w:pPr>
          </w:p>
        </w:tc>
        <w:tc>
          <w:tcPr>
            <w:tcW w:w="720" w:type="dxa"/>
            <w:noWrap w:val="0"/>
            <w:vAlign w:val="top"/>
          </w:tcPr>
          <w:p w14:paraId="1C254A97">
            <w:pPr>
              <w:widowControl/>
              <w:spacing w:line="240" w:lineRule="exact"/>
              <w:jc w:val="center"/>
              <w:rPr>
                <w:b/>
                <w:bCs/>
                <w:kern w:val="0"/>
                <w:sz w:val="15"/>
                <w:szCs w:val="15"/>
              </w:rPr>
            </w:pPr>
          </w:p>
        </w:tc>
        <w:tc>
          <w:tcPr>
            <w:tcW w:w="1102" w:type="dxa"/>
            <w:noWrap w:val="0"/>
            <w:vAlign w:val="top"/>
          </w:tcPr>
          <w:p w14:paraId="00AEE74A">
            <w:pPr>
              <w:widowControl/>
              <w:spacing w:line="240" w:lineRule="exact"/>
              <w:jc w:val="center"/>
              <w:rPr>
                <w:b/>
                <w:bCs/>
                <w:kern w:val="0"/>
                <w:sz w:val="15"/>
                <w:szCs w:val="15"/>
              </w:rPr>
            </w:pPr>
          </w:p>
        </w:tc>
      </w:tr>
      <w:tr w14:paraId="28A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61DBF45">
            <w:r>
              <w:t>28</w:t>
            </w:r>
          </w:p>
        </w:tc>
        <w:tc>
          <w:tcPr>
            <w:tcW w:w="5603" w:type="dxa"/>
            <w:noWrap w:val="0"/>
            <w:vAlign w:val="center"/>
          </w:tcPr>
          <w:p w14:paraId="7766B839">
            <w:pPr>
              <w:widowControl/>
              <w:spacing w:line="240" w:lineRule="exact"/>
              <w:jc w:val="left"/>
              <w:rPr>
                <w:kern w:val="0"/>
                <w:szCs w:val="21"/>
              </w:rPr>
            </w:pPr>
            <w:r>
              <w:rPr>
                <w:rFonts w:hint="eastAsia"/>
                <w:kern w:val="0"/>
                <w:szCs w:val="21"/>
              </w:rPr>
              <w:t>水槽、地漏及下水道畅通，水龙头、上下水管无破损</w:t>
            </w:r>
          </w:p>
        </w:tc>
        <w:tc>
          <w:tcPr>
            <w:tcW w:w="697" w:type="dxa"/>
            <w:noWrap w:val="0"/>
            <w:vAlign w:val="top"/>
          </w:tcPr>
          <w:p w14:paraId="22FB7603">
            <w:pPr>
              <w:widowControl/>
              <w:spacing w:line="240" w:lineRule="exact"/>
              <w:jc w:val="center"/>
              <w:rPr>
                <w:b/>
                <w:bCs/>
                <w:kern w:val="0"/>
                <w:sz w:val="15"/>
                <w:szCs w:val="15"/>
              </w:rPr>
            </w:pPr>
          </w:p>
        </w:tc>
        <w:tc>
          <w:tcPr>
            <w:tcW w:w="720" w:type="dxa"/>
            <w:noWrap w:val="0"/>
            <w:vAlign w:val="top"/>
          </w:tcPr>
          <w:p w14:paraId="64CE3049">
            <w:pPr>
              <w:widowControl/>
              <w:spacing w:line="240" w:lineRule="exact"/>
              <w:jc w:val="center"/>
              <w:rPr>
                <w:b/>
                <w:bCs/>
                <w:kern w:val="0"/>
                <w:sz w:val="15"/>
                <w:szCs w:val="15"/>
              </w:rPr>
            </w:pPr>
          </w:p>
        </w:tc>
        <w:tc>
          <w:tcPr>
            <w:tcW w:w="1102" w:type="dxa"/>
            <w:noWrap w:val="0"/>
            <w:vAlign w:val="top"/>
          </w:tcPr>
          <w:p w14:paraId="052D2DA0">
            <w:pPr>
              <w:widowControl/>
              <w:spacing w:line="240" w:lineRule="exact"/>
              <w:jc w:val="center"/>
              <w:rPr>
                <w:b/>
                <w:bCs/>
                <w:kern w:val="0"/>
                <w:sz w:val="15"/>
                <w:szCs w:val="15"/>
              </w:rPr>
            </w:pPr>
          </w:p>
        </w:tc>
      </w:tr>
      <w:tr w14:paraId="778F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369591B">
            <w:r>
              <w:t>29</w:t>
            </w:r>
          </w:p>
        </w:tc>
        <w:tc>
          <w:tcPr>
            <w:tcW w:w="5603" w:type="dxa"/>
            <w:noWrap w:val="0"/>
            <w:vAlign w:val="center"/>
          </w:tcPr>
          <w:p w14:paraId="15702645">
            <w:pPr>
              <w:widowControl/>
              <w:spacing w:line="240" w:lineRule="exact"/>
              <w:jc w:val="left"/>
              <w:rPr>
                <w:kern w:val="0"/>
                <w:szCs w:val="21"/>
              </w:rPr>
            </w:pPr>
            <w:r>
              <w:rPr>
                <w:kern w:val="0"/>
                <w:szCs w:val="21"/>
              </w:rPr>
              <w:t>各类</w:t>
            </w:r>
            <w:r>
              <w:rPr>
                <w:rFonts w:hint="eastAsia"/>
                <w:kern w:val="0"/>
                <w:szCs w:val="21"/>
                <w:lang w:eastAsia="zh-CN"/>
              </w:rPr>
              <w:t>连接</w:t>
            </w:r>
            <w:r>
              <w:rPr>
                <w:kern w:val="0"/>
                <w:szCs w:val="21"/>
              </w:rPr>
              <w:t>管无老化破损现象（特别是冷却冷凝系统的橡胶管接口处）</w:t>
            </w:r>
          </w:p>
        </w:tc>
        <w:tc>
          <w:tcPr>
            <w:tcW w:w="697" w:type="dxa"/>
            <w:noWrap w:val="0"/>
            <w:vAlign w:val="top"/>
          </w:tcPr>
          <w:p w14:paraId="54634C2A">
            <w:pPr>
              <w:widowControl/>
              <w:spacing w:line="240" w:lineRule="exact"/>
              <w:jc w:val="center"/>
              <w:rPr>
                <w:b/>
                <w:bCs/>
                <w:kern w:val="0"/>
                <w:sz w:val="15"/>
                <w:szCs w:val="15"/>
              </w:rPr>
            </w:pPr>
          </w:p>
        </w:tc>
        <w:tc>
          <w:tcPr>
            <w:tcW w:w="720" w:type="dxa"/>
            <w:noWrap w:val="0"/>
            <w:vAlign w:val="top"/>
          </w:tcPr>
          <w:p w14:paraId="39831FDD">
            <w:pPr>
              <w:widowControl/>
              <w:spacing w:line="240" w:lineRule="exact"/>
              <w:jc w:val="center"/>
              <w:rPr>
                <w:b/>
                <w:bCs/>
                <w:kern w:val="0"/>
                <w:sz w:val="15"/>
                <w:szCs w:val="15"/>
              </w:rPr>
            </w:pPr>
          </w:p>
        </w:tc>
        <w:tc>
          <w:tcPr>
            <w:tcW w:w="1102" w:type="dxa"/>
            <w:noWrap w:val="0"/>
            <w:vAlign w:val="top"/>
          </w:tcPr>
          <w:p w14:paraId="2C663127">
            <w:pPr>
              <w:widowControl/>
              <w:spacing w:line="240" w:lineRule="exact"/>
              <w:jc w:val="center"/>
              <w:rPr>
                <w:b/>
                <w:bCs/>
                <w:kern w:val="0"/>
                <w:sz w:val="15"/>
                <w:szCs w:val="15"/>
              </w:rPr>
            </w:pPr>
          </w:p>
        </w:tc>
      </w:tr>
      <w:tr w14:paraId="20AD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81AC060">
            <w:r>
              <w:t>30</w:t>
            </w:r>
          </w:p>
        </w:tc>
        <w:tc>
          <w:tcPr>
            <w:tcW w:w="5603" w:type="dxa"/>
            <w:noWrap w:val="0"/>
            <w:vAlign w:val="center"/>
          </w:tcPr>
          <w:p w14:paraId="62DA3C43">
            <w:pPr>
              <w:widowControl/>
              <w:spacing w:line="240" w:lineRule="exact"/>
              <w:jc w:val="left"/>
              <w:rPr>
                <w:kern w:val="0"/>
                <w:szCs w:val="21"/>
              </w:rPr>
            </w:pPr>
            <w:r>
              <w:rPr>
                <w:kern w:val="0"/>
                <w:szCs w:val="21"/>
              </w:rPr>
              <w:t>无自来水龙头开着时人离开的现象</w:t>
            </w:r>
          </w:p>
        </w:tc>
        <w:tc>
          <w:tcPr>
            <w:tcW w:w="697" w:type="dxa"/>
            <w:noWrap w:val="0"/>
            <w:vAlign w:val="top"/>
          </w:tcPr>
          <w:p w14:paraId="554FE32C">
            <w:pPr>
              <w:widowControl/>
              <w:spacing w:line="240" w:lineRule="exact"/>
              <w:jc w:val="center"/>
              <w:rPr>
                <w:b/>
                <w:bCs/>
                <w:kern w:val="0"/>
                <w:sz w:val="15"/>
                <w:szCs w:val="15"/>
              </w:rPr>
            </w:pPr>
          </w:p>
        </w:tc>
        <w:tc>
          <w:tcPr>
            <w:tcW w:w="720" w:type="dxa"/>
            <w:noWrap w:val="0"/>
            <w:vAlign w:val="top"/>
          </w:tcPr>
          <w:p w14:paraId="3F63605A">
            <w:pPr>
              <w:widowControl/>
              <w:spacing w:line="240" w:lineRule="exact"/>
              <w:jc w:val="center"/>
              <w:rPr>
                <w:b/>
                <w:bCs/>
                <w:kern w:val="0"/>
                <w:sz w:val="15"/>
                <w:szCs w:val="15"/>
              </w:rPr>
            </w:pPr>
          </w:p>
        </w:tc>
        <w:tc>
          <w:tcPr>
            <w:tcW w:w="1102" w:type="dxa"/>
            <w:noWrap w:val="0"/>
            <w:vAlign w:val="top"/>
          </w:tcPr>
          <w:p w14:paraId="4D70DB08">
            <w:pPr>
              <w:widowControl/>
              <w:spacing w:line="240" w:lineRule="exact"/>
              <w:jc w:val="center"/>
              <w:rPr>
                <w:b/>
                <w:bCs/>
                <w:kern w:val="0"/>
                <w:sz w:val="15"/>
                <w:szCs w:val="15"/>
              </w:rPr>
            </w:pPr>
          </w:p>
        </w:tc>
      </w:tr>
      <w:tr w14:paraId="39CF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7EA2545">
            <w:r>
              <w:t>31</w:t>
            </w:r>
          </w:p>
        </w:tc>
        <w:tc>
          <w:tcPr>
            <w:tcW w:w="5603" w:type="dxa"/>
            <w:noWrap w:val="0"/>
            <w:vAlign w:val="center"/>
          </w:tcPr>
          <w:p w14:paraId="5B722787">
            <w:pPr>
              <w:widowControl/>
              <w:spacing w:line="240" w:lineRule="exact"/>
              <w:jc w:val="left"/>
              <w:rPr>
                <w:kern w:val="0"/>
                <w:szCs w:val="21"/>
              </w:rPr>
            </w:pPr>
            <w:r>
              <w:rPr>
                <w:rFonts w:hint="eastAsia"/>
                <w:kern w:val="0"/>
                <w:szCs w:val="21"/>
              </w:rPr>
              <w:t>凡进入实验室人员需穿着质地合适的长袖实验服或防护服</w:t>
            </w:r>
          </w:p>
        </w:tc>
        <w:tc>
          <w:tcPr>
            <w:tcW w:w="697" w:type="dxa"/>
            <w:noWrap w:val="0"/>
            <w:vAlign w:val="top"/>
          </w:tcPr>
          <w:p w14:paraId="565EE46D">
            <w:pPr>
              <w:widowControl/>
              <w:spacing w:line="240" w:lineRule="exact"/>
              <w:jc w:val="center"/>
              <w:rPr>
                <w:b/>
                <w:bCs/>
                <w:kern w:val="0"/>
                <w:sz w:val="15"/>
                <w:szCs w:val="15"/>
              </w:rPr>
            </w:pPr>
          </w:p>
        </w:tc>
        <w:tc>
          <w:tcPr>
            <w:tcW w:w="720" w:type="dxa"/>
            <w:noWrap w:val="0"/>
            <w:vAlign w:val="top"/>
          </w:tcPr>
          <w:p w14:paraId="2FA8BD1F">
            <w:pPr>
              <w:widowControl/>
              <w:spacing w:line="240" w:lineRule="exact"/>
              <w:jc w:val="center"/>
              <w:rPr>
                <w:b/>
                <w:bCs/>
                <w:kern w:val="0"/>
                <w:sz w:val="15"/>
                <w:szCs w:val="15"/>
              </w:rPr>
            </w:pPr>
          </w:p>
        </w:tc>
        <w:tc>
          <w:tcPr>
            <w:tcW w:w="1102" w:type="dxa"/>
            <w:noWrap w:val="0"/>
            <w:vAlign w:val="top"/>
          </w:tcPr>
          <w:p w14:paraId="14ECD87E">
            <w:pPr>
              <w:widowControl/>
              <w:spacing w:line="240" w:lineRule="exact"/>
              <w:jc w:val="center"/>
              <w:rPr>
                <w:b/>
                <w:bCs/>
                <w:kern w:val="0"/>
                <w:sz w:val="15"/>
                <w:szCs w:val="15"/>
              </w:rPr>
            </w:pPr>
          </w:p>
        </w:tc>
      </w:tr>
      <w:tr w14:paraId="5A1D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D84C07B">
            <w:r>
              <w:t>32</w:t>
            </w:r>
          </w:p>
        </w:tc>
        <w:tc>
          <w:tcPr>
            <w:tcW w:w="5603" w:type="dxa"/>
            <w:noWrap w:val="0"/>
            <w:vAlign w:val="center"/>
          </w:tcPr>
          <w:p w14:paraId="13831F5F">
            <w:pPr>
              <w:widowControl/>
              <w:spacing w:line="300" w:lineRule="exact"/>
              <w:jc w:val="left"/>
              <w:rPr>
                <w:kern w:val="0"/>
                <w:szCs w:val="21"/>
              </w:rPr>
            </w:pPr>
            <w:r>
              <w:rPr>
                <w:kern w:val="0"/>
                <w:szCs w:val="21"/>
              </w:rPr>
              <w:t>按需要佩戴防护眼镜（如进行化学实验、有危险的机械操作等）</w:t>
            </w:r>
          </w:p>
        </w:tc>
        <w:tc>
          <w:tcPr>
            <w:tcW w:w="697" w:type="dxa"/>
            <w:noWrap w:val="0"/>
            <w:vAlign w:val="top"/>
          </w:tcPr>
          <w:p w14:paraId="30CCA62C">
            <w:pPr>
              <w:widowControl/>
              <w:spacing w:line="240" w:lineRule="exact"/>
              <w:jc w:val="center"/>
              <w:rPr>
                <w:b/>
                <w:bCs/>
                <w:kern w:val="0"/>
                <w:sz w:val="15"/>
                <w:szCs w:val="15"/>
              </w:rPr>
            </w:pPr>
          </w:p>
        </w:tc>
        <w:tc>
          <w:tcPr>
            <w:tcW w:w="720" w:type="dxa"/>
            <w:noWrap w:val="0"/>
            <w:vAlign w:val="top"/>
          </w:tcPr>
          <w:p w14:paraId="2B635439">
            <w:pPr>
              <w:widowControl/>
              <w:spacing w:line="240" w:lineRule="exact"/>
              <w:jc w:val="center"/>
              <w:rPr>
                <w:b/>
                <w:bCs/>
                <w:kern w:val="0"/>
                <w:sz w:val="15"/>
                <w:szCs w:val="15"/>
              </w:rPr>
            </w:pPr>
          </w:p>
        </w:tc>
        <w:tc>
          <w:tcPr>
            <w:tcW w:w="1102" w:type="dxa"/>
            <w:noWrap w:val="0"/>
            <w:vAlign w:val="top"/>
          </w:tcPr>
          <w:p w14:paraId="3AD542CE">
            <w:pPr>
              <w:widowControl/>
              <w:spacing w:line="240" w:lineRule="exact"/>
              <w:jc w:val="center"/>
              <w:rPr>
                <w:b/>
                <w:bCs/>
                <w:kern w:val="0"/>
                <w:sz w:val="15"/>
                <w:szCs w:val="15"/>
              </w:rPr>
            </w:pPr>
          </w:p>
        </w:tc>
      </w:tr>
      <w:tr w14:paraId="3ACF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16F3E30">
            <w:r>
              <w:t>33</w:t>
            </w:r>
          </w:p>
        </w:tc>
        <w:tc>
          <w:tcPr>
            <w:tcW w:w="5603" w:type="dxa"/>
            <w:noWrap w:val="0"/>
            <w:vAlign w:val="center"/>
          </w:tcPr>
          <w:p w14:paraId="32DBC92A">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697" w:type="dxa"/>
            <w:noWrap w:val="0"/>
            <w:vAlign w:val="top"/>
          </w:tcPr>
          <w:p w14:paraId="621AA77F">
            <w:pPr>
              <w:widowControl/>
              <w:spacing w:line="240" w:lineRule="exact"/>
              <w:jc w:val="center"/>
              <w:rPr>
                <w:b/>
                <w:bCs/>
                <w:kern w:val="0"/>
                <w:sz w:val="15"/>
                <w:szCs w:val="15"/>
              </w:rPr>
            </w:pPr>
          </w:p>
        </w:tc>
        <w:tc>
          <w:tcPr>
            <w:tcW w:w="720" w:type="dxa"/>
            <w:noWrap w:val="0"/>
            <w:vAlign w:val="top"/>
          </w:tcPr>
          <w:p w14:paraId="44C31CBF">
            <w:pPr>
              <w:widowControl/>
              <w:spacing w:line="240" w:lineRule="exact"/>
              <w:jc w:val="center"/>
              <w:rPr>
                <w:b/>
                <w:bCs/>
                <w:kern w:val="0"/>
                <w:sz w:val="15"/>
                <w:szCs w:val="15"/>
              </w:rPr>
            </w:pPr>
          </w:p>
        </w:tc>
        <w:tc>
          <w:tcPr>
            <w:tcW w:w="1102" w:type="dxa"/>
            <w:noWrap w:val="0"/>
            <w:vAlign w:val="top"/>
          </w:tcPr>
          <w:p w14:paraId="151F97D5">
            <w:pPr>
              <w:widowControl/>
              <w:spacing w:line="240" w:lineRule="exact"/>
              <w:jc w:val="center"/>
              <w:rPr>
                <w:b/>
                <w:bCs/>
                <w:kern w:val="0"/>
                <w:sz w:val="15"/>
                <w:szCs w:val="15"/>
              </w:rPr>
            </w:pPr>
          </w:p>
        </w:tc>
      </w:tr>
      <w:tr w14:paraId="01CD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B06218B">
            <w:r>
              <w:t>34</w:t>
            </w:r>
          </w:p>
        </w:tc>
        <w:tc>
          <w:tcPr>
            <w:tcW w:w="5603" w:type="dxa"/>
            <w:noWrap w:val="0"/>
            <w:vAlign w:val="center"/>
          </w:tcPr>
          <w:p w14:paraId="1B859DDA">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697" w:type="dxa"/>
            <w:noWrap w:val="0"/>
            <w:vAlign w:val="top"/>
          </w:tcPr>
          <w:p w14:paraId="23ACA8E9">
            <w:pPr>
              <w:widowControl/>
              <w:spacing w:line="240" w:lineRule="exact"/>
              <w:jc w:val="center"/>
              <w:rPr>
                <w:b/>
                <w:bCs/>
                <w:kern w:val="0"/>
                <w:sz w:val="15"/>
                <w:szCs w:val="15"/>
              </w:rPr>
            </w:pPr>
          </w:p>
        </w:tc>
        <w:tc>
          <w:tcPr>
            <w:tcW w:w="720" w:type="dxa"/>
            <w:noWrap w:val="0"/>
            <w:vAlign w:val="top"/>
          </w:tcPr>
          <w:p w14:paraId="2B0E5EFE">
            <w:pPr>
              <w:widowControl/>
              <w:spacing w:line="240" w:lineRule="exact"/>
              <w:jc w:val="center"/>
              <w:rPr>
                <w:b/>
                <w:bCs/>
                <w:kern w:val="0"/>
                <w:sz w:val="15"/>
                <w:szCs w:val="15"/>
              </w:rPr>
            </w:pPr>
          </w:p>
        </w:tc>
        <w:tc>
          <w:tcPr>
            <w:tcW w:w="1102" w:type="dxa"/>
            <w:noWrap w:val="0"/>
            <w:vAlign w:val="top"/>
          </w:tcPr>
          <w:p w14:paraId="658AAEE7">
            <w:pPr>
              <w:widowControl/>
              <w:spacing w:line="240" w:lineRule="exact"/>
              <w:jc w:val="center"/>
              <w:rPr>
                <w:b/>
                <w:bCs/>
                <w:kern w:val="0"/>
                <w:sz w:val="15"/>
                <w:szCs w:val="15"/>
              </w:rPr>
            </w:pPr>
          </w:p>
        </w:tc>
      </w:tr>
      <w:tr w14:paraId="7155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E097E1D">
            <w:r>
              <w:t>35</w:t>
            </w:r>
          </w:p>
        </w:tc>
        <w:tc>
          <w:tcPr>
            <w:tcW w:w="5603" w:type="dxa"/>
            <w:noWrap w:val="0"/>
            <w:vAlign w:val="center"/>
          </w:tcPr>
          <w:p w14:paraId="59C6E9DF">
            <w:pPr>
              <w:widowControl/>
              <w:spacing w:line="240" w:lineRule="exact"/>
              <w:jc w:val="left"/>
              <w:rPr>
                <w:kern w:val="0"/>
                <w:szCs w:val="21"/>
              </w:rPr>
            </w:pPr>
            <w:r>
              <w:rPr>
                <w:rFonts w:hint="eastAsia"/>
                <w:kern w:val="0"/>
                <w:szCs w:val="21"/>
              </w:rPr>
              <w:t>按需要佩戴防护手套（涉及不同的有害化学物质、病原微生物、高温和低温等），并正确选择不同种类和材质的手套</w:t>
            </w:r>
          </w:p>
        </w:tc>
        <w:tc>
          <w:tcPr>
            <w:tcW w:w="697" w:type="dxa"/>
            <w:noWrap w:val="0"/>
            <w:vAlign w:val="top"/>
          </w:tcPr>
          <w:p w14:paraId="41A7DA74">
            <w:pPr>
              <w:widowControl/>
              <w:spacing w:line="240" w:lineRule="exact"/>
              <w:jc w:val="center"/>
              <w:rPr>
                <w:b/>
                <w:bCs/>
                <w:kern w:val="0"/>
                <w:sz w:val="15"/>
                <w:szCs w:val="15"/>
              </w:rPr>
            </w:pPr>
          </w:p>
        </w:tc>
        <w:tc>
          <w:tcPr>
            <w:tcW w:w="720" w:type="dxa"/>
            <w:noWrap w:val="0"/>
            <w:vAlign w:val="top"/>
          </w:tcPr>
          <w:p w14:paraId="5DB6ACE8">
            <w:pPr>
              <w:widowControl/>
              <w:spacing w:line="240" w:lineRule="exact"/>
              <w:jc w:val="center"/>
              <w:rPr>
                <w:b/>
                <w:bCs/>
                <w:kern w:val="0"/>
                <w:sz w:val="15"/>
                <w:szCs w:val="15"/>
              </w:rPr>
            </w:pPr>
          </w:p>
        </w:tc>
        <w:tc>
          <w:tcPr>
            <w:tcW w:w="1102" w:type="dxa"/>
            <w:noWrap w:val="0"/>
            <w:vAlign w:val="top"/>
          </w:tcPr>
          <w:p w14:paraId="5B70E379">
            <w:pPr>
              <w:widowControl/>
              <w:spacing w:line="240" w:lineRule="exact"/>
              <w:jc w:val="center"/>
              <w:rPr>
                <w:b/>
                <w:bCs/>
                <w:kern w:val="0"/>
                <w:sz w:val="15"/>
                <w:szCs w:val="15"/>
              </w:rPr>
            </w:pPr>
          </w:p>
        </w:tc>
      </w:tr>
      <w:tr w14:paraId="4A17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D02D380">
            <w:r>
              <w:t>36</w:t>
            </w:r>
          </w:p>
        </w:tc>
        <w:tc>
          <w:tcPr>
            <w:tcW w:w="5603" w:type="dxa"/>
            <w:noWrap w:val="0"/>
            <w:vAlign w:val="center"/>
          </w:tcPr>
          <w:p w14:paraId="6CE925C9">
            <w:pPr>
              <w:widowControl/>
              <w:spacing w:line="240" w:lineRule="exact"/>
              <w:jc w:val="left"/>
              <w:rPr>
                <w:kern w:val="0"/>
                <w:szCs w:val="21"/>
              </w:rPr>
            </w:pPr>
            <w:r>
              <w:rPr>
                <w:rFonts w:hint="eastAsia"/>
                <w:kern w:val="0"/>
                <w:szCs w:val="21"/>
              </w:rPr>
              <w:t>在特殊的实验室配备和使用呼吸器或面罩（如有挥发性毒物、溅射危险等），并正确选择种类；呼吸器或面罩在有效期内，不用时须密封放置</w:t>
            </w:r>
          </w:p>
        </w:tc>
        <w:tc>
          <w:tcPr>
            <w:tcW w:w="697" w:type="dxa"/>
            <w:noWrap w:val="0"/>
            <w:vAlign w:val="top"/>
          </w:tcPr>
          <w:p w14:paraId="33770C0D">
            <w:pPr>
              <w:widowControl/>
              <w:spacing w:line="240" w:lineRule="exact"/>
              <w:jc w:val="center"/>
              <w:rPr>
                <w:b/>
                <w:bCs/>
                <w:kern w:val="0"/>
                <w:sz w:val="15"/>
                <w:szCs w:val="15"/>
              </w:rPr>
            </w:pPr>
          </w:p>
        </w:tc>
        <w:tc>
          <w:tcPr>
            <w:tcW w:w="720" w:type="dxa"/>
            <w:noWrap w:val="0"/>
            <w:vAlign w:val="top"/>
          </w:tcPr>
          <w:p w14:paraId="15833FC6">
            <w:pPr>
              <w:widowControl/>
              <w:spacing w:line="240" w:lineRule="exact"/>
              <w:jc w:val="center"/>
              <w:rPr>
                <w:b/>
                <w:bCs/>
                <w:kern w:val="0"/>
                <w:sz w:val="15"/>
                <w:szCs w:val="15"/>
              </w:rPr>
            </w:pPr>
          </w:p>
        </w:tc>
        <w:tc>
          <w:tcPr>
            <w:tcW w:w="1102" w:type="dxa"/>
            <w:noWrap w:val="0"/>
            <w:vAlign w:val="top"/>
          </w:tcPr>
          <w:p w14:paraId="050268F9">
            <w:pPr>
              <w:widowControl/>
              <w:spacing w:line="240" w:lineRule="exact"/>
              <w:jc w:val="center"/>
              <w:rPr>
                <w:b/>
                <w:bCs/>
                <w:kern w:val="0"/>
                <w:sz w:val="15"/>
                <w:szCs w:val="15"/>
              </w:rPr>
            </w:pPr>
          </w:p>
        </w:tc>
      </w:tr>
      <w:tr w14:paraId="33A7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8451497">
            <w:r>
              <w:t>37</w:t>
            </w:r>
          </w:p>
        </w:tc>
        <w:tc>
          <w:tcPr>
            <w:tcW w:w="5603" w:type="dxa"/>
            <w:noWrap w:val="0"/>
            <w:vAlign w:val="center"/>
          </w:tcPr>
          <w:p w14:paraId="18B73631">
            <w:pPr>
              <w:widowControl/>
              <w:spacing w:line="240" w:lineRule="exact"/>
              <w:jc w:val="left"/>
              <w:rPr>
                <w:kern w:val="0"/>
                <w:szCs w:val="21"/>
              </w:rPr>
            </w:pPr>
            <w:r>
              <w:rPr>
                <w:kern w:val="0"/>
                <w:szCs w:val="21"/>
              </w:rPr>
              <w:t>危险性实验（如高温、高压、高速运转等）时必须有两人在场</w:t>
            </w:r>
          </w:p>
        </w:tc>
        <w:tc>
          <w:tcPr>
            <w:tcW w:w="697" w:type="dxa"/>
            <w:noWrap w:val="0"/>
            <w:vAlign w:val="top"/>
          </w:tcPr>
          <w:p w14:paraId="738396B4">
            <w:pPr>
              <w:widowControl/>
              <w:spacing w:line="240" w:lineRule="exact"/>
              <w:jc w:val="center"/>
              <w:rPr>
                <w:b/>
                <w:bCs/>
                <w:kern w:val="0"/>
                <w:sz w:val="15"/>
                <w:szCs w:val="15"/>
              </w:rPr>
            </w:pPr>
          </w:p>
        </w:tc>
        <w:tc>
          <w:tcPr>
            <w:tcW w:w="720" w:type="dxa"/>
            <w:noWrap w:val="0"/>
            <w:vAlign w:val="top"/>
          </w:tcPr>
          <w:p w14:paraId="484A754E">
            <w:pPr>
              <w:widowControl/>
              <w:spacing w:line="240" w:lineRule="exact"/>
              <w:jc w:val="center"/>
              <w:rPr>
                <w:b/>
                <w:bCs/>
                <w:kern w:val="0"/>
                <w:sz w:val="15"/>
                <w:szCs w:val="15"/>
              </w:rPr>
            </w:pPr>
          </w:p>
        </w:tc>
        <w:tc>
          <w:tcPr>
            <w:tcW w:w="1102" w:type="dxa"/>
            <w:noWrap w:val="0"/>
            <w:vAlign w:val="top"/>
          </w:tcPr>
          <w:p w14:paraId="5ED27379">
            <w:pPr>
              <w:widowControl/>
              <w:spacing w:line="240" w:lineRule="exact"/>
              <w:jc w:val="center"/>
              <w:rPr>
                <w:b/>
                <w:bCs/>
                <w:kern w:val="0"/>
                <w:sz w:val="15"/>
                <w:szCs w:val="15"/>
              </w:rPr>
            </w:pPr>
          </w:p>
        </w:tc>
      </w:tr>
      <w:tr w14:paraId="667F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92FC7E9">
            <w:r>
              <w:t>38</w:t>
            </w:r>
          </w:p>
        </w:tc>
        <w:tc>
          <w:tcPr>
            <w:tcW w:w="5603" w:type="dxa"/>
            <w:noWrap w:val="0"/>
            <w:vAlign w:val="center"/>
          </w:tcPr>
          <w:p w14:paraId="2BB70222">
            <w:pPr>
              <w:widowControl/>
              <w:spacing w:line="240" w:lineRule="exact"/>
              <w:jc w:val="left"/>
              <w:rPr>
                <w:kern w:val="0"/>
                <w:szCs w:val="21"/>
              </w:rPr>
            </w:pPr>
            <w:r>
              <w:rPr>
                <w:rFonts w:hint="eastAsia"/>
                <w:kern w:val="0"/>
                <w:szCs w:val="21"/>
              </w:rPr>
              <w:t>实验时不能脱岗，通宵实验须两人在场并有事先审批制度</w:t>
            </w:r>
          </w:p>
        </w:tc>
        <w:tc>
          <w:tcPr>
            <w:tcW w:w="2519" w:type="dxa"/>
            <w:gridSpan w:val="3"/>
            <w:noWrap w:val="0"/>
            <w:vAlign w:val="top"/>
          </w:tcPr>
          <w:p w14:paraId="31B75FCE">
            <w:pPr>
              <w:widowControl/>
              <w:spacing w:line="240" w:lineRule="exact"/>
              <w:jc w:val="center"/>
              <w:rPr>
                <w:b/>
                <w:bCs/>
                <w:kern w:val="0"/>
                <w:sz w:val="15"/>
                <w:szCs w:val="15"/>
              </w:rPr>
            </w:pPr>
            <w:r>
              <w:rPr>
                <w:rFonts w:hint="eastAsia"/>
                <w:bCs/>
                <w:kern w:val="0"/>
                <w:sz w:val="15"/>
                <w:szCs w:val="15"/>
              </w:rPr>
              <w:t>检查审批制度及记录</w:t>
            </w:r>
          </w:p>
        </w:tc>
      </w:tr>
      <w:tr w14:paraId="7D23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139FD18">
            <w:r>
              <w:t>39</w:t>
            </w:r>
          </w:p>
        </w:tc>
        <w:tc>
          <w:tcPr>
            <w:tcW w:w="5603" w:type="dxa"/>
            <w:noWrap w:val="0"/>
            <w:vAlign w:val="center"/>
          </w:tcPr>
          <w:p w14:paraId="326C15F7">
            <w:pPr>
              <w:widowControl/>
              <w:spacing w:line="240" w:lineRule="exact"/>
              <w:jc w:val="left"/>
              <w:rPr>
                <w:rFonts w:hint="eastAsia"/>
                <w:kern w:val="0"/>
                <w:szCs w:val="21"/>
              </w:rPr>
            </w:pPr>
            <w:r>
              <w:rPr>
                <w:rFonts w:hint="eastAsia"/>
                <w:kern w:val="0"/>
                <w:szCs w:val="21"/>
              </w:rPr>
              <w:t>剧毒品、易制毒品、易制爆品、爆炸品购买前须经学校审批，报公安部门批准或备案后，向具有经营许可资质的单位购买。校职能部门保留资料、建立档案。不得私自从外单位获取管控化学品</w:t>
            </w:r>
          </w:p>
        </w:tc>
        <w:tc>
          <w:tcPr>
            <w:tcW w:w="2519" w:type="dxa"/>
            <w:gridSpan w:val="3"/>
            <w:noWrap w:val="0"/>
            <w:vAlign w:val="top"/>
          </w:tcPr>
          <w:p w14:paraId="70C96A12">
            <w:pPr>
              <w:widowControl/>
              <w:spacing w:line="240" w:lineRule="exact"/>
              <w:jc w:val="center"/>
              <w:rPr>
                <w:rFonts w:hint="eastAsia"/>
                <w:bCs/>
                <w:kern w:val="0"/>
                <w:sz w:val="15"/>
                <w:szCs w:val="15"/>
              </w:rPr>
            </w:pPr>
          </w:p>
        </w:tc>
      </w:tr>
      <w:tr w14:paraId="189C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3702E51">
            <w:r>
              <w:t>40</w:t>
            </w:r>
          </w:p>
        </w:tc>
        <w:tc>
          <w:tcPr>
            <w:tcW w:w="5603" w:type="dxa"/>
            <w:noWrap w:val="0"/>
            <w:vAlign w:val="center"/>
          </w:tcPr>
          <w:p w14:paraId="344AD31B">
            <w:pPr>
              <w:widowControl/>
              <w:spacing w:line="240" w:lineRule="exact"/>
              <w:rPr>
                <w:b/>
                <w:kern w:val="0"/>
                <w:szCs w:val="21"/>
              </w:rPr>
            </w:pPr>
            <w:r>
              <w:rPr>
                <w:kern w:val="0"/>
                <w:szCs w:val="21"/>
              </w:rPr>
              <w:t>有房间内化学品的动态</w:t>
            </w:r>
            <w:r>
              <w:rPr>
                <w:rFonts w:hint="eastAsia"/>
                <w:kern w:val="0"/>
                <w:szCs w:val="21"/>
                <w:lang w:eastAsia="zh-CN"/>
              </w:rPr>
              <w:t>台账</w:t>
            </w:r>
            <w:r>
              <w:rPr>
                <w:rFonts w:hint="eastAsia"/>
                <w:kern w:val="0"/>
                <w:szCs w:val="21"/>
              </w:rPr>
              <w:t>；建立本实验室危险化学品目录，并有危险化学品安全技术说明书（MSDS）或安全周知卡，方便查阅</w:t>
            </w:r>
          </w:p>
        </w:tc>
        <w:tc>
          <w:tcPr>
            <w:tcW w:w="697" w:type="dxa"/>
            <w:noWrap w:val="0"/>
            <w:vAlign w:val="top"/>
          </w:tcPr>
          <w:p w14:paraId="5582CE8B">
            <w:pPr>
              <w:widowControl/>
              <w:spacing w:line="240" w:lineRule="exact"/>
              <w:jc w:val="center"/>
              <w:rPr>
                <w:b/>
                <w:bCs/>
                <w:kern w:val="0"/>
                <w:sz w:val="15"/>
                <w:szCs w:val="15"/>
              </w:rPr>
            </w:pPr>
          </w:p>
        </w:tc>
        <w:tc>
          <w:tcPr>
            <w:tcW w:w="720" w:type="dxa"/>
            <w:noWrap w:val="0"/>
            <w:vAlign w:val="top"/>
          </w:tcPr>
          <w:p w14:paraId="58647131">
            <w:pPr>
              <w:widowControl/>
              <w:spacing w:line="240" w:lineRule="exact"/>
              <w:jc w:val="center"/>
              <w:rPr>
                <w:b/>
                <w:bCs/>
                <w:kern w:val="0"/>
                <w:sz w:val="15"/>
                <w:szCs w:val="15"/>
              </w:rPr>
            </w:pPr>
          </w:p>
        </w:tc>
        <w:tc>
          <w:tcPr>
            <w:tcW w:w="1102" w:type="dxa"/>
            <w:noWrap w:val="0"/>
            <w:vAlign w:val="top"/>
          </w:tcPr>
          <w:p w14:paraId="369F6B5C">
            <w:pPr>
              <w:widowControl/>
              <w:spacing w:line="240" w:lineRule="exact"/>
              <w:jc w:val="center"/>
              <w:rPr>
                <w:b/>
                <w:bCs/>
                <w:kern w:val="0"/>
                <w:sz w:val="15"/>
                <w:szCs w:val="15"/>
              </w:rPr>
            </w:pPr>
          </w:p>
        </w:tc>
      </w:tr>
      <w:tr w14:paraId="3B4C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36B6BBD">
            <w:r>
              <w:t>41</w:t>
            </w:r>
          </w:p>
        </w:tc>
        <w:tc>
          <w:tcPr>
            <w:tcW w:w="5603" w:type="dxa"/>
            <w:noWrap w:val="0"/>
            <w:vAlign w:val="center"/>
          </w:tcPr>
          <w:p w14:paraId="40BDCB99">
            <w:pPr>
              <w:widowControl/>
              <w:spacing w:line="240" w:lineRule="exact"/>
              <w:rPr>
                <w:kern w:val="0"/>
                <w:szCs w:val="21"/>
              </w:rPr>
            </w:pPr>
            <w:r>
              <w:rPr>
                <w:rFonts w:hint="eastAsia"/>
                <w:kern w:val="0"/>
                <w:szCs w:val="21"/>
              </w:rPr>
              <w:t>实验室应有专用于存放试剂药品的空间（储藏室、储藏区、储存柜等），应通风、隔热、避光、安全；有机溶剂储存区应远离热源和火源；易泄漏、易挥发的试剂保证充足的通风；试剂柜中不能有电源插座或接线板</w:t>
            </w:r>
          </w:p>
        </w:tc>
        <w:tc>
          <w:tcPr>
            <w:tcW w:w="697" w:type="dxa"/>
            <w:noWrap w:val="0"/>
            <w:vAlign w:val="top"/>
          </w:tcPr>
          <w:p w14:paraId="153652D9">
            <w:pPr>
              <w:widowControl/>
              <w:spacing w:line="240" w:lineRule="exact"/>
              <w:jc w:val="center"/>
              <w:rPr>
                <w:b/>
                <w:bCs/>
                <w:kern w:val="0"/>
                <w:sz w:val="15"/>
                <w:szCs w:val="15"/>
              </w:rPr>
            </w:pPr>
          </w:p>
        </w:tc>
        <w:tc>
          <w:tcPr>
            <w:tcW w:w="720" w:type="dxa"/>
            <w:noWrap w:val="0"/>
            <w:vAlign w:val="top"/>
          </w:tcPr>
          <w:p w14:paraId="31180058">
            <w:pPr>
              <w:widowControl/>
              <w:spacing w:line="240" w:lineRule="exact"/>
              <w:jc w:val="center"/>
              <w:rPr>
                <w:b/>
                <w:bCs/>
                <w:kern w:val="0"/>
                <w:sz w:val="15"/>
                <w:szCs w:val="15"/>
              </w:rPr>
            </w:pPr>
          </w:p>
        </w:tc>
        <w:tc>
          <w:tcPr>
            <w:tcW w:w="1102" w:type="dxa"/>
            <w:noWrap w:val="0"/>
            <w:vAlign w:val="top"/>
          </w:tcPr>
          <w:p w14:paraId="0579770A">
            <w:pPr>
              <w:widowControl/>
              <w:spacing w:line="240" w:lineRule="exact"/>
              <w:jc w:val="center"/>
              <w:rPr>
                <w:b/>
                <w:bCs/>
                <w:kern w:val="0"/>
                <w:sz w:val="15"/>
                <w:szCs w:val="15"/>
              </w:rPr>
            </w:pPr>
          </w:p>
        </w:tc>
      </w:tr>
      <w:tr w14:paraId="1CF7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F270F49">
            <w:r>
              <w:t>42</w:t>
            </w:r>
          </w:p>
        </w:tc>
        <w:tc>
          <w:tcPr>
            <w:tcW w:w="5603" w:type="dxa"/>
            <w:noWrap w:val="0"/>
            <w:vAlign w:val="center"/>
          </w:tcPr>
          <w:p w14:paraId="5EF01B4D">
            <w:pPr>
              <w:widowControl/>
              <w:spacing w:line="240" w:lineRule="exact"/>
              <w:jc w:val="left"/>
              <w:rPr>
                <w:kern w:val="0"/>
                <w:szCs w:val="21"/>
              </w:rPr>
            </w:pPr>
            <w:r>
              <w:rPr>
                <w:rFonts w:hint="eastAsia"/>
                <w:kern w:val="0"/>
                <w:szCs w:val="21"/>
              </w:rPr>
              <w:t>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519" w:type="dxa"/>
            <w:gridSpan w:val="3"/>
            <w:noWrap w:val="0"/>
            <w:vAlign w:val="top"/>
          </w:tcPr>
          <w:p w14:paraId="310BE994">
            <w:pPr>
              <w:widowControl/>
              <w:spacing w:line="240" w:lineRule="exact"/>
              <w:jc w:val="center"/>
              <w:rPr>
                <w:bCs/>
                <w:kern w:val="0"/>
                <w:sz w:val="15"/>
                <w:szCs w:val="15"/>
              </w:rPr>
            </w:pPr>
            <w:r>
              <w:rPr>
                <w:rFonts w:hint="eastAsia"/>
                <w:bCs/>
                <w:kern w:val="0"/>
                <w:sz w:val="15"/>
                <w:szCs w:val="15"/>
              </w:rPr>
              <w:t>查看储存柜、冰箱、实验台等，柜子门上或墙上粘贴清单</w:t>
            </w:r>
          </w:p>
        </w:tc>
      </w:tr>
      <w:tr w14:paraId="23CF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7E14D4D">
            <w:r>
              <w:t>43</w:t>
            </w:r>
          </w:p>
        </w:tc>
        <w:tc>
          <w:tcPr>
            <w:tcW w:w="5603" w:type="dxa"/>
            <w:noWrap w:val="0"/>
            <w:vAlign w:val="center"/>
          </w:tcPr>
          <w:p w14:paraId="2BD844A9">
            <w:pPr>
              <w:widowControl/>
              <w:spacing w:line="240" w:lineRule="exact"/>
              <w:jc w:val="left"/>
              <w:rPr>
                <w:kern w:val="0"/>
                <w:szCs w:val="21"/>
              </w:rPr>
            </w:pPr>
            <w:r>
              <w:rPr>
                <w:rFonts w:hint="eastAsia"/>
                <w:kern w:val="0"/>
                <w:szCs w:val="21"/>
              </w:rPr>
              <w:t>实验室内存放的危险化学品总量原则上不应超过100L或100kg，其中易燃易爆性化学品的存放总量不应超过50L 或50kg，且单一包装容器不应大于20L或20kg</w:t>
            </w:r>
          </w:p>
        </w:tc>
        <w:tc>
          <w:tcPr>
            <w:tcW w:w="2519" w:type="dxa"/>
            <w:gridSpan w:val="3"/>
            <w:noWrap w:val="0"/>
            <w:vAlign w:val="top"/>
          </w:tcPr>
          <w:p w14:paraId="1C6B79E0">
            <w:pPr>
              <w:widowControl/>
              <w:spacing w:line="240" w:lineRule="exact"/>
              <w:jc w:val="center"/>
              <w:rPr>
                <w:bCs/>
                <w:kern w:val="0"/>
                <w:sz w:val="15"/>
                <w:szCs w:val="15"/>
              </w:rPr>
            </w:pPr>
            <w:r>
              <w:rPr>
                <w:rFonts w:hint="eastAsia"/>
                <w:bCs/>
                <w:kern w:val="0"/>
                <w:sz w:val="15"/>
                <w:szCs w:val="15"/>
              </w:rPr>
              <w:t>查看现场，按50</w:t>
            </w:r>
            <w:r>
              <w:rPr>
                <w:rFonts w:hint="eastAsia"/>
                <w:bCs/>
                <w:kern w:val="0"/>
                <w:sz w:val="15"/>
                <w:szCs w:val="15"/>
                <w:lang w:eastAsia="zh-CN"/>
              </w:rPr>
              <w:t>平方米</w:t>
            </w:r>
            <w:r>
              <w:rPr>
                <w:rFonts w:hint="eastAsia"/>
                <w:bCs/>
                <w:kern w:val="0"/>
                <w:sz w:val="15"/>
                <w:szCs w:val="15"/>
              </w:rPr>
              <w:t>为标准，存放量以实验室面积比考察</w:t>
            </w:r>
          </w:p>
        </w:tc>
      </w:tr>
      <w:tr w14:paraId="5978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3F3A2AD">
            <w:r>
              <w:t>44</w:t>
            </w:r>
          </w:p>
        </w:tc>
        <w:tc>
          <w:tcPr>
            <w:tcW w:w="5603" w:type="dxa"/>
            <w:noWrap w:val="0"/>
            <w:vAlign w:val="center"/>
          </w:tcPr>
          <w:p w14:paraId="05B3717B">
            <w:pPr>
              <w:widowControl/>
              <w:spacing w:line="240" w:lineRule="exact"/>
              <w:jc w:val="left"/>
              <w:rPr>
                <w:kern w:val="0"/>
                <w:szCs w:val="21"/>
              </w:rPr>
            </w:pPr>
            <w:r>
              <w:rPr>
                <w:rFonts w:hint="eastAsia"/>
                <w:kern w:val="0"/>
                <w:szCs w:val="21"/>
              </w:rPr>
              <w:t>化学品包装物上应有符合规定的化学品标签；当化学品由原包装物转移或分装到其他包装物内时，转移或分装后的包装物应及时重新粘贴标识。化学品标签脱落、模糊、腐蚀后应及时补上，如不能确认，则以废弃化学品处置</w:t>
            </w:r>
          </w:p>
        </w:tc>
        <w:tc>
          <w:tcPr>
            <w:tcW w:w="2519" w:type="dxa"/>
            <w:gridSpan w:val="3"/>
            <w:noWrap w:val="0"/>
            <w:vAlign w:val="top"/>
          </w:tcPr>
          <w:p w14:paraId="5248163B">
            <w:pPr>
              <w:widowControl/>
              <w:spacing w:line="240" w:lineRule="exact"/>
              <w:jc w:val="center"/>
              <w:rPr>
                <w:b/>
                <w:bCs/>
                <w:kern w:val="0"/>
                <w:sz w:val="15"/>
                <w:szCs w:val="15"/>
              </w:rPr>
            </w:pPr>
            <w:r>
              <w:rPr>
                <w:rFonts w:hint="eastAsia"/>
                <w:bCs/>
                <w:kern w:val="0"/>
                <w:sz w:val="15"/>
                <w:szCs w:val="15"/>
              </w:rPr>
              <w:t>查看实验台、存储柜、冰箱等</w:t>
            </w:r>
          </w:p>
        </w:tc>
      </w:tr>
      <w:tr w14:paraId="1AA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0F177CD">
            <w:r>
              <w:t>45</w:t>
            </w:r>
          </w:p>
        </w:tc>
        <w:tc>
          <w:tcPr>
            <w:tcW w:w="5603" w:type="dxa"/>
            <w:noWrap w:val="0"/>
            <w:vAlign w:val="center"/>
          </w:tcPr>
          <w:p w14:paraId="7C12C653">
            <w:pPr>
              <w:widowControl/>
              <w:spacing w:line="240" w:lineRule="exact"/>
              <w:jc w:val="left"/>
              <w:rPr>
                <w:kern w:val="0"/>
                <w:szCs w:val="21"/>
              </w:rPr>
            </w:pPr>
            <w:r>
              <w:rPr>
                <w:kern w:val="0"/>
                <w:szCs w:val="21"/>
              </w:rPr>
              <w:t>过期药品定期清理，无过期药品累积</w:t>
            </w:r>
          </w:p>
        </w:tc>
        <w:tc>
          <w:tcPr>
            <w:tcW w:w="697" w:type="dxa"/>
            <w:noWrap w:val="0"/>
            <w:vAlign w:val="top"/>
          </w:tcPr>
          <w:p w14:paraId="40FE8D2F">
            <w:pPr>
              <w:widowControl/>
              <w:spacing w:line="240" w:lineRule="exact"/>
              <w:jc w:val="center"/>
              <w:rPr>
                <w:b/>
                <w:bCs/>
                <w:kern w:val="0"/>
                <w:sz w:val="15"/>
                <w:szCs w:val="15"/>
              </w:rPr>
            </w:pPr>
          </w:p>
        </w:tc>
        <w:tc>
          <w:tcPr>
            <w:tcW w:w="720" w:type="dxa"/>
            <w:noWrap w:val="0"/>
            <w:vAlign w:val="top"/>
          </w:tcPr>
          <w:p w14:paraId="2E3458F1">
            <w:pPr>
              <w:widowControl/>
              <w:spacing w:line="240" w:lineRule="exact"/>
              <w:jc w:val="center"/>
              <w:rPr>
                <w:b/>
                <w:bCs/>
                <w:kern w:val="0"/>
                <w:sz w:val="15"/>
                <w:szCs w:val="15"/>
              </w:rPr>
            </w:pPr>
          </w:p>
        </w:tc>
        <w:tc>
          <w:tcPr>
            <w:tcW w:w="1102" w:type="dxa"/>
            <w:noWrap w:val="0"/>
            <w:vAlign w:val="top"/>
          </w:tcPr>
          <w:p w14:paraId="7CBF83DD">
            <w:pPr>
              <w:widowControl/>
              <w:spacing w:line="240" w:lineRule="exact"/>
              <w:jc w:val="center"/>
              <w:rPr>
                <w:b/>
                <w:bCs/>
                <w:kern w:val="0"/>
                <w:sz w:val="15"/>
                <w:szCs w:val="15"/>
              </w:rPr>
            </w:pPr>
          </w:p>
        </w:tc>
      </w:tr>
      <w:tr w14:paraId="10A3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351021A">
            <w:r>
              <w:t>46</w:t>
            </w:r>
          </w:p>
        </w:tc>
        <w:tc>
          <w:tcPr>
            <w:tcW w:w="5603" w:type="dxa"/>
            <w:noWrap w:val="0"/>
            <w:vAlign w:val="center"/>
          </w:tcPr>
          <w:p w14:paraId="35395B7E">
            <w:pPr>
              <w:widowControl/>
              <w:spacing w:line="24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w:t>
            </w:r>
            <w:r>
              <w:rPr>
                <w:rFonts w:hint="eastAsia"/>
                <w:kern w:val="0"/>
                <w:szCs w:val="21"/>
                <w:lang w:eastAsia="zh-CN"/>
              </w:rPr>
              <w:t>台账</w:t>
            </w:r>
          </w:p>
        </w:tc>
        <w:tc>
          <w:tcPr>
            <w:tcW w:w="697" w:type="dxa"/>
            <w:noWrap w:val="0"/>
            <w:vAlign w:val="top"/>
          </w:tcPr>
          <w:p w14:paraId="43A628F9">
            <w:pPr>
              <w:widowControl/>
              <w:spacing w:line="240" w:lineRule="exact"/>
              <w:jc w:val="center"/>
              <w:rPr>
                <w:b/>
                <w:bCs/>
                <w:kern w:val="0"/>
                <w:sz w:val="15"/>
                <w:szCs w:val="15"/>
              </w:rPr>
            </w:pPr>
          </w:p>
        </w:tc>
        <w:tc>
          <w:tcPr>
            <w:tcW w:w="720" w:type="dxa"/>
            <w:noWrap w:val="0"/>
            <w:vAlign w:val="top"/>
          </w:tcPr>
          <w:p w14:paraId="4FD2F2AA">
            <w:pPr>
              <w:widowControl/>
              <w:spacing w:line="240" w:lineRule="exact"/>
              <w:jc w:val="center"/>
              <w:rPr>
                <w:b/>
                <w:bCs/>
                <w:kern w:val="0"/>
                <w:sz w:val="15"/>
                <w:szCs w:val="15"/>
              </w:rPr>
            </w:pPr>
          </w:p>
        </w:tc>
        <w:tc>
          <w:tcPr>
            <w:tcW w:w="1102" w:type="dxa"/>
            <w:noWrap w:val="0"/>
            <w:vAlign w:val="top"/>
          </w:tcPr>
          <w:p w14:paraId="41FDEC67">
            <w:pPr>
              <w:widowControl/>
              <w:spacing w:line="240" w:lineRule="exact"/>
              <w:jc w:val="center"/>
              <w:rPr>
                <w:b/>
                <w:bCs/>
                <w:kern w:val="0"/>
                <w:sz w:val="15"/>
                <w:szCs w:val="15"/>
              </w:rPr>
            </w:pPr>
          </w:p>
        </w:tc>
      </w:tr>
      <w:tr w14:paraId="59A5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62C66A4">
            <w:r>
              <w:t>47</w:t>
            </w:r>
          </w:p>
        </w:tc>
        <w:tc>
          <w:tcPr>
            <w:tcW w:w="5603" w:type="dxa"/>
            <w:noWrap w:val="0"/>
            <w:vAlign w:val="center"/>
          </w:tcPr>
          <w:p w14:paraId="7682CBB8">
            <w:pPr>
              <w:widowControl/>
              <w:spacing w:line="24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2519" w:type="dxa"/>
            <w:gridSpan w:val="3"/>
            <w:noWrap w:val="0"/>
            <w:vAlign w:val="top"/>
          </w:tcPr>
          <w:p w14:paraId="17ECF1B0">
            <w:pPr>
              <w:widowControl/>
              <w:spacing w:line="240" w:lineRule="exact"/>
              <w:jc w:val="center"/>
              <w:rPr>
                <w:bCs/>
                <w:kern w:val="0"/>
                <w:sz w:val="15"/>
                <w:szCs w:val="15"/>
              </w:rPr>
            </w:pPr>
          </w:p>
        </w:tc>
      </w:tr>
      <w:tr w14:paraId="3E2B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350315B">
            <w:r>
              <w:t>48</w:t>
            </w:r>
          </w:p>
        </w:tc>
        <w:tc>
          <w:tcPr>
            <w:tcW w:w="5603" w:type="dxa"/>
            <w:noWrap w:val="0"/>
            <w:vAlign w:val="center"/>
          </w:tcPr>
          <w:p w14:paraId="625BDF93">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697" w:type="dxa"/>
            <w:noWrap w:val="0"/>
            <w:vAlign w:val="top"/>
          </w:tcPr>
          <w:p w14:paraId="2E1F1FAF">
            <w:pPr>
              <w:widowControl/>
              <w:spacing w:line="240" w:lineRule="exact"/>
              <w:jc w:val="center"/>
              <w:rPr>
                <w:b/>
                <w:bCs/>
                <w:kern w:val="0"/>
                <w:sz w:val="15"/>
                <w:szCs w:val="15"/>
              </w:rPr>
            </w:pPr>
          </w:p>
        </w:tc>
        <w:tc>
          <w:tcPr>
            <w:tcW w:w="720" w:type="dxa"/>
            <w:noWrap w:val="0"/>
            <w:vAlign w:val="top"/>
          </w:tcPr>
          <w:p w14:paraId="31948E7F">
            <w:pPr>
              <w:widowControl/>
              <w:spacing w:line="240" w:lineRule="exact"/>
              <w:jc w:val="center"/>
              <w:rPr>
                <w:b/>
                <w:bCs/>
                <w:kern w:val="0"/>
                <w:sz w:val="15"/>
                <w:szCs w:val="15"/>
              </w:rPr>
            </w:pPr>
          </w:p>
        </w:tc>
        <w:tc>
          <w:tcPr>
            <w:tcW w:w="1102" w:type="dxa"/>
            <w:noWrap w:val="0"/>
            <w:vAlign w:val="top"/>
          </w:tcPr>
          <w:p w14:paraId="52AFF84E">
            <w:pPr>
              <w:widowControl/>
              <w:spacing w:line="240" w:lineRule="exact"/>
              <w:jc w:val="center"/>
              <w:rPr>
                <w:b/>
                <w:bCs/>
                <w:kern w:val="0"/>
                <w:sz w:val="15"/>
                <w:szCs w:val="15"/>
              </w:rPr>
            </w:pPr>
          </w:p>
        </w:tc>
      </w:tr>
      <w:tr w14:paraId="4E9D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A1D4D73">
            <w:r>
              <w:t>49</w:t>
            </w:r>
          </w:p>
        </w:tc>
        <w:tc>
          <w:tcPr>
            <w:tcW w:w="5603" w:type="dxa"/>
            <w:noWrap w:val="0"/>
            <w:vAlign w:val="center"/>
          </w:tcPr>
          <w:p w14:paraId="31148967">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697" w:type="dxa"/>
            <w:noWrap w:val="0"/>
            <w:vAlign w:val="top"/>
          </w:tcPr>
          <w:p w14:paraId="6F160C33">
            <w:pPr>
              <w:widowControl/>
              <w:spacing w:line="240" w:lineRule="exact"/>
              <w:jc w:val="center"/>
              <w:rPr>
                <w:b/>
                <w:bCs/>
                <w:kern w:val="0"/>
                <w:sz w:val="15"/>
                <w:szCs w:val="15"/>
              </w:rPr>
            </w:pPr>
          </w:p>
        </w:tc>
        <w:tc>
          <w:tcPr>
            <w:tcW w:w="720" w:type="dxa"/>
            <w:noWrap w:val="0"/>
            <w:vAlign w:val="top"/>
          </w:tcPr>
          <w:p w14:paraId="5BB50735">
            <w:pPr>
              <w:widowControl/>
              <w:spacing w:line="240" w:lineRule="exact"/>
              <w:jc w:val="center"/>
              <w:rPr>
                <w:b/>
                <w:bCs/>
                <w:kern w:val="0"/>
                <w:sz w:val="15"/>
                <w:szCs w:val="15"/>
              </w:rPr>
            </w:pPr>
          </w:p>
        </w:tc>
        <w:tc>
          <w:tcPr>
            <w:tcW w:w="1102" w:type="dxa"/>
            <w:noWrap w:val="0"/>
            <w:vAlign w:val="top"/>
          </w:tcPr>
          <w:p w14:paraId="506C699F">
            <w:pPr>
              <w:widowControl/>
              <w:spacing w:line="240" w:lineRule="exact"/>
              <w:jc w:val="center"/>
              <w:rPr>
                <w:b/>
                <w:bCs/>
                <w:kern w:val="0"/>
                <w:sz w:val="15"/>
                <w:szCs w:val="15"/>
              </w:rPr>
            </w:pPr>
          </w:p>
        </w:tc>
      </w:tr>
      <w:tr w14:paraId="214A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A6C9B5F">
            <w:r>
              <w:t>50</w:t>
            </w:r>
          </w:p>
        </w:tc>
        <w:tc>
          <w:tcPr>
            <w:tcW w:w="5603" w:type="dxa"/>
            <w:noWrap w:val="0"/>
            <w:vAlign w:val="center"/>
          </w:tcPr>
          <w:p w14:paraId="02580A3C">
            <w:pPr>
              <w:widowControl/>
              <w:spacing w:line="240" w:lineRule="exact"/>
              <w:jc w:val="left"/>
              <w:rPr>
                <w:kern w:val="0"/>
                <w:szCs w:val="21"/>
              </w:rPr>
            </w:pPr>
            <w:r>
              <w:rPr>
                <w:kern w:val="0"/>
                <w:szCs w:val="21"/>
              </w:rPr>
              <w:t>可燃性气体与氧气等助燃气体不混放</w:t>
            </w:r>
          </w:p>
        </w:tc>
        <w:tc>
          <w:tcPr>
            <w:tcW w:w="697" w:type="dxa"/>
            <w:noWrap w:val="0"/>
            <w:vAlign w:val="top"/>
          </w:tcPr>
          <w:p w14:paraId="759EA105">
            <w:pPr>
              <w:widowControl/>
              <w:spacing w:line="240" w:lineRule="exact"/>
              <w:jc w:val="center"/>
              <w:rPr>
                <w:b/>
                <w:bCs/>
                <w:kern w:val="0"/>
                <w:sz w:val="15"/>
                <w:szCs w:val="15"/>
              </w:rPr>
            </w:pPr>
          </w:p>
        </w:tc>
        <w:tc>
          <w:tcPr>
            <w:tcW w:w="720" w:type="dxa"/>
            <w:noWrap w:val="0"/>
            <w:vAlign w:val="top"/>
          </w:tcPr>
          <w:p w14:paraId="0026FAFD">
            <w:pPr>
              <w:widowControl/>
              <w:spacing w:line="240" w:lineRule="exact"/>
              <w:jc w:val="center"/>
              <w:rPr>
                <w:b/>
                <w:bCs/>
                <w:kern w:val="0"/>
                <w:sz w:val="15"/>
                <w:szCs w:val="15"/>
              </w:rPr>
            </w:pPr>
          </w:p>
        </w:tc>
        <w:tc>
          <w:tcPr>
            <w:tcW w:w="1102" w:type="dxa"/>
            <w:noWrap w:val="0"/>
            <w:vAlign w:val="top"/>
          </w:tcPr>
          <w:p w14:paraId="1A0CD90F">
            <w:pPr>
              <w:widowControl/>
              <w:spacing w:line="240" w:lineRule="exact"/>
              <w:jc w:val="center"/>
              <w:rPr>
                <w:b/>
                <w:bCs/>
                <w:kern w:val="0"/>
                <w:sz w:val="15"/>
                <w:szCs w:val="15"/>
              </w:rPr>
            </w:pPr>
          </w:p>
        </w:tc>
      </w:tr>
      <w:tr w14:paraId="3042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5E407AC">
            <w:r>
              <w:t>51</w:t>
            </w:r>
          </w:p>
        </w:tc>
        <w:tc>
          <w:tcPr>
            <w:tcW w:w="5603" w:type="dxa"/>
            <w:noWrap w:val="0"/>
            <w:vAlign w:val="center"/>
          </w:tcPr>
          <w:p w14:paraId="5488FE55">
            <w:pPr>
              <w:widowControl/>
              <w:spacing w:line="240" w:lineRule="exact"/>
              <w:jc w:val="left"/>
              <w:rPr>
                <w:kern w:val="0"/>
                <w:szCs w:val="21"/>
              </w:rPr>
            </w:pPr>
            <w:r>
              <w:rPr>
                <w:kern w:val="0"/>
                <w:szCs w:val="21"/>
              </w:rPr>
              <w:t>气体连接管路连接正确、有标识，管路材质选择合适，无破损或老化现象。对于存在多条气体管路的房间张贴了详细的管路图</w:t>
            </w:r>
          </w:p>
        </w:tc>
        <w:tc>
          <w:tcPr>
            <w:tcW w:w="697" w:type="dxa"/>
            <w:noWrap w:val="0"/>
            <w:vAlign w:val="top"/>
          </w:tcPr>
          <w:p w14:paraId="1BF10D49">
            <w:pPr>
              <w:widowControl/>
              <w:spacing w:line="240" w:lineRule="exact"/>
              <w:jc w:val="center"/>
              <w:rPr>
                <w:b/>
                <w:bCs/>
                <w:kern w:val="0"/>
                <w:sz w:val="15"/>
                <w:szCs w:val="15"/>
              </w:rPr>
            </w:pPr>
          </w:p>
        </w:tc>
        <w:tc>
          <w:tcPr>
            <w:tcW w:w="720" w:type="dxa"/>
            <w:noWrap w:val="0"/>
            <w:vAlign w:val="top"/>
          </w:tcPr>
          <w:p w14:paraId="7BD10209">
            <w:pPr>
              <w:widowControl/>
              <w:spacing w:line="240" w:lineRule="exact"/>
              <w:jc w:val="center"/>
              <w:rPr>
                <w:b/>
                <w:bCs/>
                <w:kern w:val="0"/>
                <w:sz w:val="15"/>
                <w:szCs w:val="15"/>
              </w:rPr>
            </w:pPr>
          </w:p>
        </w:tc>
        <w:tc>
          <w:tcPr>
            <w:tcW w:w="1102" w:type="dxa"/>
            <w:noWrap w:val="0"/>
            <w:vAlign w:val="top"/>
          </w:tcPr>
          <w:p w14:paraId="0CA4030B">
            <w:pPr>
              <w:widowControl/>
              <w:spacing w:line="240" w:lineRule="exact"/>
              <w:jc w:val="center"/>
              <w:rPr>
                <w:b/>
                <w:bCs/>
                <w:kern w:val="0"/>
                <w:sz w:val="15"/>
                <w:szCs w:val="15"/>
              </w:rPr>
            </w:pPr>
          </w:p>
        </w:tc>
      </w:tr>
      <w:tr w14:paraId="2B8E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C45B58D">
            <w:r>
              <w:t>52</w:t>
            </w:r>
          </w:p>
        </w:tc>
        <w:tc>
          <w:tcPr>
            <w:tcW w:w="5603" w:type="dxa"/>
            <w:noWrap w:val="0"/>
            <w:vAlign w:val="center"/>
          </w:tcPr>
          <w:p w14:paraId="75E802CA">
            <w:pPr>
              <w:widowControl/>
              <w:spacing w:line="240" w:lineRule="exact"/>
              <w:jc w:val="left"/>
              <w:rPr>
                <w:kern w:val="0"/>
                <w:szCs w:val="21"/>
              </w:rPr>
            </w:pPr>
            <w:r>
              <w:rPr>
                <w:kern w:val="0"/>
                <w:szCs w:val="21"/>
              </w:rPr>
              <w:t>不能带着减压阀移动钢瓶、不得在地上滚动钢瓶</w:t>
            </w:r>
          </w:p>
        </w:tc>
        <w:tc>
          <w:tcPr>
            <w:tcW w:w="697" w:type="dxa"/>
            <w:noWrap w:val="0"/>
            <w:vAlign w:val="top"/>
          </w:tcPr>
          <w:p w14:paraId="18089918">
            <w:pPr>
              <w:widowControl/>
              <w:spacing w:line="240" w:lineRule="exact"/>
              <w:jc w:val="center"/>
              <w:rPr>
                <w:b/>
                <w:bCs/>
                <w:kern w:val="0"/>
                <w:sz w:val="15"/>
                <w:szCs w:val="15"/>
              </w:rPr>
            </w:pPr>
          </w:p>
        </w:tc>
        <w:tc>
          <w:tcPr>
            <w:tcW w:w="720" w:type="dxa"/>
            <w:noWrap w:val="0"/>
            <w:vAlign w:val="top"/>
          </w:tcPr>
          <w:p w14:paraId="2C5996B9">
            <w:pPr>
              <w:widowControl/>
              <w:spacing w:line="240" w:lineRule="exact"/>
              <w:jc w:val="center"/>
              <w:rPr>
                <w:b/>
                <w:bCs/>
                <w:kern w:val="0"/>
                <w:sz w:val="15"/>
                <w:szCs w:val="15"/>
              </w:rPr>
            </w:pPr>
          </w:p>
        </w:tc>
        <w:tc>
          <w:tcPr>
            <w:tcW w:w="1102" w:type="dxa"/>
            <w:noWrap w:val="0"/>
            <w:vAlign w:val="top"/>
          </w:tcPr>
          <w:p w14:paraId="0152319A">
            <w:pPr>
              <w:widowControl/>
              <w:spacing w:line="240" w:lineRule="exact"/>
              <w:jc w:val="center"/>
              <w:rPr>
                <w:b/>
                <w:bCs/>
                <w:kern w:val="0"/>
                <w:sz w:val="15"/>
                <w:szCs w:val="15"/>
              </w:rPr>
            </w:pPr>
          </w:p>
        </w:tc>
      </w:tr>
      <w:tr w14:paraId="18FC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3412E6F">
            <w:r>
              <w:t>53</w:t>
            </w:r>
          </w:p>
        </w:tc>
        <w:tc>
          <w:tcPr>
            <w:tcW w:w="5603" w:type="dxa"/>
            <w:noWrap w:val="0"/>
            <w:vAlign w:val="center"/>
          </w:tcPr>
          <w:p w14:paraId="5AE3C11D">
            <w:pPr>
              <w:widowControl/>
              <w:spacing w:line="240" w:lineRule="exact"/>
              <w:jc w:val="left"/>
              <w:rPr>
                <w:kern w:val="0"/>
                <w:szCs w:val="21"/>
              </w:rPr>
            </w:pPr>
            <w:r>
              <w:rPr>
                <w:kern w:val="0"/>
                <w:szCs w:val="21"/>
              </w:rPr>
              <w:t>时常进行检漏，实验结束后，气体钢瓶总阀已关闭</w:t>
            </w:r>
          </w:p>
        </w:tc>
        <w:tc>
          <w:tcPr>
            <w:tcW w:w="697" w:type="dxa"/>
            <w:noWrap w:val="0"/>
            <w:vAlign w:val="top"/>
          </w:tcPr>
          <w:p w14:paraId="205046B1">
            <w:pPr>
              <w:widowControl/>
              <w:spacing w:line="240" w:lineRule="exact"/>
              <w:jc w:val="center"/>
              <w:rPr>
                <w:b/>
                <w:bCs/>
                <w:kern w:val="0"/>
                <w:sz w:val="15"/>
                <w:szCs w:val="15"/>
              </w:rPr>
            </w:pPr>
          </w:p>
        </w:tc>
        <w:tc>
          <w:tcPr>
            <w:tcW w:w="720" w:type="dxa"/>
            <w:noWrap w:val="0"/>
            <w:vAlign w:val="top"/>
          </w:tcPr>
          <w:p w14:paraId="697D45BD">
            <w:pPr>
              <w:widowControl/>
              <w:spacing w:line="240" w:lineRule="exact"/>
              <w:jc w:val="center"/>
              <w:rPr>
                <w:b/>
                <w:bCs/>
                <w:kern w:val="0"/>
                <w:sz w:val="15"/>
                <w:szCs w:val="15"/>
              </w:rPr>
            </w:pPr>
          </w:p>
        </w:tc>
        <w:tc>
          <w:tcPr>
            <w:tcW w:w="1102" w:type="dxa"/>
            <w:noWrap w:val="0"/>
            <w:vAlign w:val="top"/>
          </w:tcPr>
          <w:p w14:paraId="34FDC502">
            <w:pPr>
              <w:widowControl/>
              <w:spacing w:line="240" w:lineRule="exact"/>
              <w:jc w:val="center"/>
              <w:rPr>
                <w:b/>
                <w:bCs/>
                <w:kern w:val="0"/>
                <w:sz w:val="15"/>
                <w:szCs w:val="15"/>
              </w:rPr>
            </w:pPr>
          </w:p>
        </w:tc>
      </w:tr>
      <w:tr w14:paraId="22D0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A3BD77B">
            <w:r>
              <w:t>54</w:t>
            </w:r>
          </w:p>
        </w:tc>
        <w:tc>
          <w:tcPr>
            <w:tcW w:w="5603" w:type="dxa"/>
            <w:noWrap w:val="0"/>
            <w:vAlign w:val="center"/>
          </w:tcPr>
          <w:p w14:paraId="0B2A0DA2">
            <w:pPr>
              <w:widowControl/>
              <w:spacing w:line="240" w:lineRule="exact"/>
              <w:jc w:val="left"/>
              <w:rPr>
                <w:kern w:val="0"/>
                <w:szCs w:val="21"/>
              </w:rPr>
            </w:pPr>
            <w:r>
              <w:rPr>
                <w:rFonts w:hint="eastAsia"/>
                <w:kern w:val="0"/>
                <w:szCs w:val="21"/>
              </w:rPr>
              <w:t>配备了化学实验废弃物分类容器，对化学废弃物进行分类收集与存放（应避免易产生剧烈反应的废弃物混放）、贴好标签，盖子不敞开</w:t>
            </w:r>
          </w:p>
        </w:tc>
        <w:tc>
          <w:tcPr>
            <w:tcW w:w="697" w:type="dxa"/>
            <w:noWrap w:val="0"/>
            <w:vAlign w:val="top"/>
          </w:tcPr>
          <w:p w14:paraId="240D2FDD">
            <w:pPr>
              <w:widowControl/>
              <w:spacing w:line="240" w:lineRule="exact"/>
              <w:jc w:val="center"/>
              <w:rPr>
                <w:b/>
                <w:bCs/>
                <w:kern w:val="0"/>
                <w:sz w:val="15"/>
                <w:szCs w:val="15"/>
              </w:rPr>
            </w:pPr>
          </w:p>
        </w:tc>
        <w:tc>
          <w:tcPr>
            <w:tcW w:w="720" w:type="dxa"/>
            <w:noWrap w:val="0"/>
            <w:vAlign w:val="top"/>
          </w:tcPr>
          <w:p w14:paraId="00494496">
            <w:pPr>
              <w:widowControl/>
              <w:spacing w:line="240" w:lineRule="exact"/>
              <w:jc w:val="center"/>
              <w:rPr>
                <w:b/>
                <w:bCs/>
                <w:kern w:val="0"/>
                <w:sz w:val="15"/>
                <w:szCs w:val="15"/>
              </w:rPr>
            </w:pPr>
          </w:p>
        </w:tc>
        <w:tc>
          <w:tcPr>
            <w:tcW w:w="1102" w:type="dxa"/>
            <w:noWrap w:val="0"/>
            <w:vAlign w:val="top"/>
          </w:tcPr>
          <w:p w14:paraId="2BDFCCC2">
            <w:pPr>
              <w:widowControl/>
              <w:spacing w:line="240" w:lineRule="exact"/>
              <w:jc w:val="center"/>
              <w:rPr>
                <w:b/>
                <w:bCs/>
                <w:kern w:val="0"/>
                <w:sz w:val="15"/>
                <w:szCs w:val="15"/>
              </w:rPr>
            </w:pPr>
          </w:p>
        </w:tc>
      </w:tr>
      <w:tr w14:paraId="16B8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012D3BD">
            <w:r>
              <w:t>55</w:t>
            </w:r>
          </w:p>
        </w:tc>
        <w:tc>
          <w:tcPr>
            <w:tcW w:w="5603" w:type="dxa"/>
            <w:noWrap w:val="0"/>
            <w:vAlign w:val="center"/>
          </w:tcPr>
          <w:p w14:paraId="7B9802DA">
            <w:pPr>
              <w:widowControl/>
              <w:spacing w:line="240" w:lineRule="exact"/>
              <w:jc w:val="left"/>
              <w:rPr>
                <w:kern w:val="0"/>
                <w:szCs w:val="21"/>
              </w:rPr>
            </w:pPr>
            <w:r>
              <w:rPr>
                <w:rFonts w:hint="eastAsia"/>
                <w:kern w:val="0"/>
                <w:szCs w:val="21"/>
              </w:rPr>
              <w:t>对于危险性大的废弃物，要独立包装，标签信息明确</w:t>
            </w:r>
          </w:p>
        </w:tc>
        <w:tc>
          <w:tcPr>
            <w:tcW w:w="697" w:type="dxa"/>
            <w:noWrap w:val="0"/>
            <w:vAlign w:val="top"/>
          </w:tcPr>
          <w:p w14:paraId="2F594C6A">
            <w:pPr>
              <w:widowControl/>
              <w:spacing w:line="240" w:lineRule="exact"/>
              <w:jc w:val="center"/>
              <w:rPr>
                <w:b/>
                <w:bCs/>
                <w:kern w:val="0"/>
                <w:sz w:val="15"/>
                <w:szCs w:val="15"/>
              </w:rPr>
            </w:pPr>
          </w:p>
        </w:tc>
        <w:tc>
          <w:tcPr>
            <w:tcW w:w="720" w:type="dxa"/>
            <w:noWrap w:val="0"/>
            <w:vAlign w:val="top"/>
          </w:tcPr>
          <w:p w14:paraId="380C5E83">
            <w:pPr>
              <w:widowControl/>
              <w:spacing w:line="240" w:lineRule="exact"/>
              <w:jc w:val="center"/>
              <w:rPr>
                <w:b/>
                <w:bCs/>
                <w:kern w:val="0"/>
                <w:sz w:val="15"/>
                <w:szCs w:val="15"/>
              </w:rPr>
            </w:pPr>
          </w:p>
        </w:tc>
        <w:tc>
          <w:tcPr>
            <w:tcW w:w="1102" w:type="dxa"/>
            <w:noWrap w:val="0"/>
            <w:vAlign w:val="top"/>
          </w:tcPr>
          <w:p w14:paraId="61C0FC1D">
            <w:pPr>
              <w:widowControl/>
              <w:spacing w:line="240" w:lineRule="exact"/>
              <w:jc w:val="center"/>
              <w:rPr>
                <w:b/>
                <w:bCs/>
                <w:kern w:val="0"/>
                <w:sz w:val="15"/>
                <w:szCs w:val="15"/>
              </w:rPr>
            </w:pPr>
          </w:p>
        </w:tc>
      </w:tr>
      <w:tr w14:paraId="64E1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0F7C5BC">
            <w:r>
              <w:t>56</w:t>
            </w:r>
          </w:p>
        </w:tc>
        <w:tc>
          <w:tcPr>
            <w:tcW w:w="5603" w:type="dxa"/>
            <w:noWrap w:val="0"/>
            <w:vAlign w:val="center"/>
          </w:tcPr>
          <w:p w14:paraId="7CF7B586">
            <w:pPr>
              <w:widowControl/>
              <w:spacing w:line="240" w:lineRule="exact"/>
              <w:jc w:val="left"/>
              <w:rPr>
                <w:kern w:val="0"/>
                <w:szCs w:val="21"/>
              </w:rPr>
            </w:pPr>
            <w:r>
              <w:rPr>
                <w:kern w:val="0"/>
                <w:szCs w:val="21"/>
              </w:rPr>
              <w:t>实验废弃物和生活垃圾不混放，不向下水道倾倒废旧化学试剂</w:t>
            </w:r>
          </w:p>
        </w:tc>
        <w:tc>
          <w:tcPr>
            <w:tcW w:w="697" w:type="dxa"/>
            <w:noWrap w:val="0"/>
            <w:vAlign w:val="top"/>
          </w:tcPr>
          <w:p w14:paraId="097276C1">
            <w:pPr>
              <w:widowControl/>
              <w:spacing w:line="240" w:lineRule="exact"/>
              <w:jc w:val="center"/>
              <w:rPr>
                <w:b/>
                <w:bCs/>
                <w:kern w:val="0"/>
                <w:sz w:val="15"/>
                <w:szCs w:val="15"/>
              </w:rPr>
            </w:pPr>
          </w:p>
        </w:tc>
        <w:tc>
          <w:tcPr>
            <w:tcW w:w="720" w:type="dxa"/>
            <w:noWrap w:val="0"/>
            <w:vAlign w:val="top"/>
          </w:tcPr>
          <w:p w14:paraId="30CA487E">
            <w:pPr>
              <w:widowControl/>
              <w:spacing w:line="240" w:lineRule="exact"/>
              <w:jc w:val="center"/>
              <w:rPr>
                <w:b/>
                <w:bCs/>
                <w:kern w:val="0"/>
                <w:sz w:val="15"/>
                <w:szCs w:val="15"/>
              </w:rPr>
            </w:pPr>
          </w:p>
        </w:tc>
        <w:tc>
          <w:tcPr>
            <w:tcW w:w="1102" w:type="dxa"/>
            <w:noWrap w:val="0"/>
            <w:vAlign w:val="top"/>
          </w:tcPr>
          <w:p w14:paraId="483A6D81">
            <w:pPr>
              <w:widowControl/>
              <w:spacing w:line="240" w:lineRule="exact"/>
              <w:jc w:val="center"/>
              <w:rPr>
                <w:b/>
                <w:bCs/>
                <w:kern w:val="0"/>
                <w:sz w:val="15"/>
                <w:szCs w:val="15"/>
              </w:rPr>
            </w:pPr>
          </w:p>
        </w:tc>
      </w:tr>
      <w:tr w14:paraId="0CC0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9C56411">
            <w:r>
              <w:t>57</w:t>
            </w:r>
          </w:p>
        </w:tc>
        <w:tc>
          <w:tcPr>
            <w:tcW w:w="5603" w:type="dxa"/>
            <w:noWrap w:val="0"/>
            <w:vAlign w:val="center"/>
          </w:tcPr>
          <w:p w14:paraId="34388AE3">
            <w:pPr>
              <w:widowControl/>
              <w:spacing w:line="240" w:lineRule="exact"/>
              <w:jc w:val="left"/>
              <w:rPr>
                <w:kern w:val="0"/>
                <w:szCs w:val="21"/>
              </w:rPr>
            </w:pPr>
            <w:r>
              <w:rPr>
                <w:kern w:val="0"/>
                <w:szCs w:val="21"/>
              </w:rPr>
              <w:t>锐器废物盛放在纸板箱等不易被刺穿的容器中</w:t>
            </w:r>
          </w:p>
        </w:tc>
        <w:tc>
          <w:tcPr>
            <w:tcW w:w="697" w:type="dxa"/>
            <w:noWrap w:val="0"/>
            <w:vAlign w:val="top"/>
          </w:tcPr>
          <w:p w14:paraId="0A449F6A">
            <w:pPr>
              <w:widowControl/>
              <w:spacing w:line="240" w:lineRule="exact"/>
              <w:jc w:val="center"/>
              <w:rPr>
                <w:b/>
                <w:bCs/>
                <w:kern w:val="0"/>
                <w:sz w:val="15"/>
                <w:szCs w:val="15"/>
              </w:rPr>
            </w:pPr>
          </w:p>
        </w:tc>
        <w:tc>
          <w:tcPr>
            <w:tcW w:w="720" w:type="dxa"/>
            <w:noWrap w:val="0"/>
            <w:vAlign w:val="top"/>
          </w:tcPr>
          <w:p w14:paraId="322F029C">
            <w:pPr>
              <w:widowControl/>
              <w:spacing w:line="240" w:lineRule="exact"/>
              <w:jc w:val="center"/>
              <w:rPr>
                <w:b/>
                <w:bCs/>
                <w:kern w:val="0"/>
                <w:sz w:val="15"/>
                <w:szCs w:val="15"/>
              </w:rPr>
            </w:pPr>
          </w:p>
        </w:tc>
        <w:tc>
          <w:tcPr>
            <w:tcW w:w="1102" w:type="dxa"/>
            <w:noWrap w:val="0"/>
            <w:vAlign w:val="top"/>
          </w:tcPr>
          <w:p w14:paraId="57E6287B">
            <w:pPr>
              <w:widowControl/>
              <w:spacing w:line="240" w:lineRule="exact"/>
              <w:jc w:val="center"/>
              <w:rPr>
                <w:b/>
                <w:bCs/>
                <w:kern w:val="0"/>
                <w:sz w:val="15"/>
                <w:szCs w:val="15"/>
              </w:rPr>
            </w:pPr>
          </w:p>
        </w:tc>
      </w:tr>
      <w:tr w14:paraId="7C0A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57218B6">
            <w:r>
              <w:t>58</w:t>
            </w:r>
          </w:p>
        </w:tc>
        <w:tc>
          <w:tcPr>
            <w:tcW w:w="5603" w:type="dxa"/>
            <w:noWrap w:val="0"/>
            <w:vAlign w:val="center"/>
          </w:tcPr>
          <w:p w14:paraId="2D5613F9">
            <w:pPr>
              <w:widowControl/>
              <w:spacing w:line="240" w:lineRule="exact"/>
              <w:jc w:val="left"/>
              <w:rPr>
                <w:kern w:val="0"/>
                <w:szCs w:val="21"/>
              </w:rPr>
            </w:pPr>
            <w:r>
              <w:rPr>
                <w:kern w:val="0"/>
                <w:szCs w:val="21"/>
              </w:rPr>
              <w:t>配置试剂、合成品、样品等标签信息明确</w:t>
            </w:r>
          </w:p>
        </w:tc>
        <w:tc>
          <w:tcPr>
            <w:tcW w:w="697" w:type="dxa"/>
            <w:noWrap w:val="0"/>
            <w:vAlign w:val="top"/>
          </w:tcPr>
          <w:p w14:paraId="427C01F1">
            <w:pPr>
              <w:widowControl/>
              <w:spacing w:line="240" w:lineRule="exact"/>
              <w:jc w:val="center"/>
              <w:rPr>
                <w:b/>
                <w:bCs/>
                <w:kern w:val="0"/>
                <w:sz w:val="15"/>
                <w:szCs w:val="15"/>
              </w:rPr>
            </w:pPr>
          </w:p>
        </w:tc>
        <w:tc>
          <w:tcPr>
            <w:tcW w:w="720" w:type="dxa"/>
            <w:noWrap w:val="0"/>
            <w:vAlign w:val="top"/>
          </w:tcPr>
          <w:p w14:paraId="05CCBFB2">
            <w:pPr>
              <w:widowControl/>
              <w:spacing w:line="240" w:lineRule="exact"/>
              <w:jc w:val="center"/>
              <w:rPr>
                <w:b/>
                <w:bCs/>
                <w:kern w:val="0"/>
                <w:sz w:val="15"/>
                <w:szCs w:val="15"/>
              </w:rPr>
            </w:pPr>
          </w:p>
        </w:tc>
        <w:tc>
          <w:tcPr>
            <w:tcW w:w="1102" w:type="dxa"/>
            <w:noWrap w:val="0"/>
            <w:vAlign w:val="top"/>
          </w:tcPr>
          <w:p w14:paraId="0DFD50B1">
            <w:pPr>
              <w:widowControl/>
              <w:spacing w:line="240" w:lineRule="exact"/>
              <w:jc w:val="center"/>
              <w:rPr>
                <w:b/>
                <w:bCs/>
                <w:kern w:val="0"/>
                <w:sz w:val="15"/>
                <w:szCs w:val="15"/>
              </w:rPr>
            </w:pPr>
          </w:p>
        </w:tc>
      </w:tr>
      <w:tr w14:paraId="071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BC44CC7">
            <w:r>
              <w:t>59</w:t>
            </w:r>
          </w:p>
        </w:tc>
        <w:tc>
          <w:tcPr>
            <w:tcW w:w="5603" w:type="dxa"/>
            <w:noWrap w:val="0"/>
            <w:vAlign w:val="center"/>
          </w:tcPr>
          <w:p w14:paraId="1493D532">
            <w:pPr>
              <w:widowControl/>
              <w:spacing w:line="240" w:lineRule="exact"/>
              <w:jc w:val="left"/>
              <w:rPr>
                <w:kern w:val="0"/>
                <w:szCs w:val="21"/>
              </w:rPr>
            </w:pPr>
            <w:r>
              <w:rPr>
                <w:kern w:val="0"/>
                <w:szCs w:val="21"/>
              </w:rPr>
              <w:t>盛放配置试剂、合成品等的烧杯、烧瓶不得无盖放置</w:t>
            </w:r>
          </w:p>
        </w:tc>
        <w:tc>
          <w:tcPr>
            <w:tcW w:w="697" w:type="dxa"/>
            <w:noWrap w:val="0"/>
            <w:vAlign w:val="top"/>
          </w:tcPr>
          <w:p w14:paraId="47F9974C">
            <w:pPr>
              <w:widowControl/>
              <w:spacing w:line="240" w:lineRule="exact"/>
              <w:jc w:val="center"/>
              <w:rPr>
                <w:b/>
                <w:bCs/>
                <w:kern w:val="0"/>
                <w:sz w:val="15"/>
                <w:szCs w:val="15"/>
              </w:rPr>
            </w:pPr>
          </w:p>
        </w:tc>
        <w:tc>
          <w:tcPr>
            <w:tcW w:w="720" w:type="dxa"/>
            <w:noWrap w:val="0"/>
            <w:vAlign w:val="top"/>
          </w:tcPr>
          <w:p w14:paraId="778EBB74">
            <w:pPr>
              <w:widowControl/>
              <w:spacing w:line="240" w:lineRule="exact"/>
              <w:jc w:val="center"/>
              <w:rPr>
                <w:b/>
                <w:bCs/>
                <w:kern w:val="0"/>
                <w:sz w:val="15"/>
                <w:szCs w:val="15"/>
              </w:rPr>
            </w:pPr>
          </w:p>
        </w:tc>
        <w:tc>
          <w:tcPr>
            <w:tcW w:w="1102" w:type="dxa"/>
            <w:noWrap w:val="0"/>
            <w:vAlign w:val="top"/>
          </w:tcPr>
          <w:p w14:paraId="379BD8CD">
            <w:pPr>
              <w:widowControl/>
              <w:spacing w:line="240" w:lineRule="exact"/>
              <w:jc w:val="center"/>
              <w:rPr>
                <w:b/>
                <w:bCs/>
                <w:kern w:val="0"/>
                <w:sz w:val="15"/>
                <w:szCs w:val="15"/>
              </w:rPr>
            </w:pPr>
          </w:p>
        </w:tc>
      </w:tr>
      <w:tr w14:paraId="3F70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B245F4A">
            <w:r>
              <w:t>60</w:t>
            </w:r>
          </w:p>
        </w:tc>
        <w:tc>
          <w:tcPr>
            <w:tcW w:w="5603" w:type="dxa"/>
            <w:noWrap w:val="0"/>
            <w:vAlign w:val="center"/>
          </w:tcPr>
          <w:p w14:paraId="4980130D">
            <w:pPr>
              <w:widowControl/>
              <w:spacing w:line="240" w:lineRule="exact"/>
              <w:jc w:val="left"/>
              <w:rPr>
                <w:kern w:val="0"/>
                <w:szCs w:val="21"/>
              </w:rPr>
            </w:pPr>
            <w:r>
              <w:rPr>
                <w:kern w:val="0"/>
                <w:szCs w:val="21"/>
              </w:rPr>
              <w:t>无使用饮料瓶存放试剂、样品的现象。如确需存放，必须撕去原包装纸，贴上专用标签纸</w:t>
            </w:r>
          </w:p>
        </w:tc>
        <w:tc>
          <w:tcPr>
            <w:tcW w:w="697" w:type="dxa"/>
            <w:noWrap w:val="0"/>
            <w:vAlign w:val="top"/>
          </w:tcPr>
          <w:p w14:paraId="2975DB98">
            <w:pPr>
              <w:widowControl/>
              <w:spacing w:line="240" w:lineRule="exact"/>
              <w:jc w:val="center"/>
              <w:rPr>
                <w:b/>
                <w:bCs/>
                <w:kern w:val="0"/>
                <w:sz w:val="15"/>
                <w:szCs w:val="15"/>
              </w:rPr>
            </w:pPr>
          </w:p>
        </w:tc>
        <w:tc>
          <w:tcPr>
            <w:tcW w:w="720" w:type="dxa"/>
            <w:noWrap w:val="0"/>
            <w:vAlign w:val="top"/>
          </w:tcPr>
          <w:p w14:paraId="6F7E4F08">
            <w:pPr>
              <w:widowControl/>
              <w:spacing w:line="240" w:lineRule="exact"/>
              <w:jc w:val="center"/>
              <w:rPr>
                <w:b/>
                <w:bCs/>
                <w:kern w:val="0"/>
                <w:sz w:val="15"/>
                <w:szCs w:val="15"/>
              </w:rPr>
            </w:pPr>
          </w:p>
        </w:tc>
        <w:tc>
          <w:tcPr>
            <w:tcW w:w="1102" w:type="dxa"/>
            <w:noWrap w:val="0"/>
            <w:vAlign w:val="top"/>
          </w:tcPr>
          <w:p w14:paraId="268A2D90">
            <w:pPr>
              <w:widowControl/>
              <w:spacing w:line="240" w:lineRule="exact"/>
              <w:jc w:val="center"/>
              <w:rPr>
                <w:b/>
                <w:bCs/>
                <w:kern w:val="0"/>
                <w:sz w:val="15"/>
                <w:szCs w:val="15"/>
              </w:rPr>
            </w:pPr>
          </w:p>
        </w:tc>
      </w:tr>
      <w:tr w14:paraId="7F08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A16703E">
            <w:r>
              <w:t>61</w:t>
            </w:r>
          </w:p>
        </w:tc>
        <w:tc>
          <w:tcPr>
            <w:tcW w:w="5603" w:type="dxa"/>
            <w:noWrap w:val="0"/>
            <w:vAlign w:val="center"/>
          </w:tcPr>
          <w:p w14:paraId="546D7109">
            <w:pPr>
              <w:widowControl/>
              <w:spacing w:line="240" w:lineRule="exact"/>
              <w:jc w:val="left"/>
              <w:rPr>
                <w:kern w:val="0"/>
                <w:szCs w:val="21"/>
              </w:rPr>
            </w:pPr>
            <w:r>
              <w:rPr>
                <w:kern w:val="0"/>
                <w:szCs w:val="21"/>
              </w:rPr>
              <w:t>原标签纸未撕去的空试剂瓶中不存放</w:t>
            </w:r>
            <w:r>
              <w:rPr>
                <w:rFonts w:hint="eastAsia"/>
                <w:kern w:val="0"/>
                <w:szCs w:val="21"/>
                <w:lang w:eastAsia="zh-CN"/>
              </w:rPr>
              <w:t>其他化学品</w:t>
            </w:r>
            <w:r>
              <w:rPr>
                <w:kern w:val="0"/>
                <w:szCs w:val="21"/>
              </w:rPr>
              <w:t>的现象（除非将原标签撕去、重新贴上专用标签纸）</w:t>
            </w:r>
          </w:p>
        </w:tc>
        <w:tc>
          <w:tcPr>
            <w:tcW w:w="697" w:type="dxa"/>
            <w:noWrap w:val="0"/>
            <w:vAlign w:val="top"/>
          </w:tcPr>
          <w:p w14:paraId="78021C13">
            <w:pPr>
              <w:widowControl/>
              <w:spacing w:line="240" w:lineRule="exact"/>
              <w:jc w:val="center"/>
              <w:rPr>
                <w:b/>
                <w:bCs/>
                <w:kern w:val="0"/>
                <w:sz w:val="15"/>
                <w:szCs w:val="15"/>
              </w:rPr>
            </w:pPr>
          </w:p>
        </w:tc>
        <w:tc>
          <w:tcPr>
            <w:tcW w:w="720" w:type="dxa"/>
            <w:noWrap w:val="0"/>
            <w:vAlign w:val="top"/>
          </w:tcPr>
          <w:p w14:paraId="39647D92">
            <w:pPr>
              <w:widowControl/>
              <w:spacing w:line="240" w:lineRule="exact"/>
              <w:jc w:val="center"/>
              <w:rPr>
                <w:b/>
                <w:bCs/>
                <w:kern w:val="0"/>
                <w:sz w:val="15"/>
                <w:szCs w:val="15"/>
              </w:rPr>
            </w:pPr>
          </w:p>
        </w:tc>
        <w:tc>
          <w:tcPr>
            <w:tcW w:w="1102" w:type="dxa"/>
            <w:noWrap w:val="0"/>
            <w:vAlign w:val="top"/>
          </w:tcPr>
          <w:p w14:paraId="25DF61A3">
            <w:pPr>
              <w:widowControl/>
              <w:spacing w:line="240" w:lineRule="exact"/>
              <w:jc w:val="center"/>
              <w:rPr>
                <w:b/>
                <w:bCs/>
                <w:kern w:val="0"/>
                <w:sz w:val="15"/>
                <w:szCs w:val="15"/>
              </w:rPr>
            </w:pPr>
          </w:p>
        </w:tc>
      </w:tr>
      <w:tr w14:paraId="4066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D23105F">
            <w:r>
              <w:t>62</w:t>
            </w:r>
          </w:p>
        </w:tc>
        <w:tc>
          <w:tcPr>
            <w:tcW w:w="5603" w:type="dxa"/>
            <w:noWrap w:val="0"/>
            <w:vAlign w:val="center"/>
          </w:tcPr>
          <w:p w14:paraId="3B27B047">
            <w:pPr>
              <w:widowControl/>
              <w:spacing w:line="240" w:lineRule="exact"/>
              <w:jc w:val="left"/>
              <w:rPr>
                <w:kern w:val="0"/>
                <w:szCs w:val="21"/>
              </w:rPr>
            </w:pPr>
            <w:r>
              <w:rPr>
                <w:kern w:val="0"/>
                <w:szCs w:val="21"/>
              </w:rPr>
              <w:t>用于浸泡玻璃器皿的酸缸、碱缸等有盖子盖上</w:t>
            </w:r>
          </w:p>
        </w:tc>
        <w:tc>
          <w:tcPr>
            <w:tcW w:w="697" w:type="dxa"/>
            <w:noWrap w:val="0"/>
            <w:vAlign w:val="top"/>
          </w:tcPr>
          <w:p w14:paraId="28E72649">
            <w:pPr>
              <w:widowControl/>
              <w:spacing w:line="240" w:lineRule="exact"/>
              <w:jc w:val="center"/>
              <w:rPr>
                <w:b/>
                <w:bCs/>
                <w:kern w:val="0"/>
                <w:sz w:val="15"/>
                <w:szCs w:val="15"/>
              </w:rPr>
            </w:pPr>
          </w:p>
        </w:tc>
        <w:tc>
          <w:tcPr>
            <w:tcW w:w="720" w:type="dxa"/>
            <w:noWrap w:val="0"/>
            <w:vAlign w:val="top"/>
          </w:tcPr>
          <w:p w14:paraId="6432A650">
            <w:pPr>
              <w:widowControl/>
              <w:spacing w:line="240" w:lineRule="exact"/>
              <w:jc w:val="center"/>
              <w:rPr>
                <w:b/>
                <w:bCs/>
                <w:kern w:val="0"/>
                <w:sz w:val="15"/>
                <w:szCs w:val="15"/>
              </w:rPr>
            </w:pPr>
          </w:p>
        </w:tc>
        <w:tc>
          <w:tcPr>
            <w:tcW w:w="1102" w:type="dxa"/>
            <w:noWrap w:val="0"/>
            <w:vAlign w:val="top"/>
          </w:tcPr>
          <w:p w14:paraId="68A0D90E">
            <w:pPr>
              <w:widowControl/>
              <w:spacing w:line="240" w:lineRule="exact"/>
              <w:jc w:val="center"/>
              <w:rPr>
                <w:b/>
                <w:bCs/>
                <w:kern w:val="0"/>
                <w:sz w:val="15"/>
                <w:szCs w:val="15"/>
              </w:rPr>
            </w:pPr>
          </w:p>
        </w:tc>
      </w:tr>
      <w:tr w14:paraId="29B4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CA2C36A">
            <w:r>
              <w:t>63</w:t>
            </w:r>
          </w:p>
        </w:tc>
        <w:tc>
          <w:tcPr>
            <w:tcW w:w="5603" w:type="dxa"/>
            <w:noWrap w:val="0"/>
            <w:vAlign w:val="center"/>
          </w:tcPr>
          <w:p w14:paraId="79563748">
            <w:pPr>
              <w:widowControl/>
              <w:spacing w:line="240" w:lineRule="exact"/>
              <w:jc w:val="left"/>
              <w:rPr>
                <w:kern w:val="0"/>
                <w:szCs w:val="21"/>
              </w:rPr>
            </w:pPr>
            <w:r>
              <w:rPr>
                <w:kern w:val="0"/>
                <w:szCs w:val="21"/>
              </w:rPr>
              <w:t>不使用破损量筒、试管等玻璃器皿</w:t>
            </w:r>
          </w:p>
        </w:tc>
        <w:tc>
          <w:tcPr>
            <w:tcW w:w="697" w:type="dxa"/>
            <w:noWrap w:val="0"/>
            <w:vAlign w:val="top"/>
          </w:tcPr>
          <w:p w14:paraId="18633B06">
            <w:pPr>
              <w:widowControl/>
              <w:spacing w:line="240" w:lineRule="exact"/>
              <w:jc w:val="center"/>
              <w:rPr>
                <w:b/>
                <w:bCs/>
                <w:kern w:val="0"/>
                <w:sz w:val="15"/>
                <w:szCs w:val="15"/>
              </w:rPr>
            </w:pPr>
          </w:p>
        </w:tc>
        <w:tc>
          <w:tcPr>
            <w:tcW w:w="720" w:type="dxa"/>
            <w:noWrap w:val="0"/>
            <w:vAlign w:val="top"/>
          </w:tcPr>
          <w:p w14:paraId="2744F112">
            <w:pPr>
              <w:widowControl/>
              <w:spacing w:line="240" w:lineRule="exact"/>
              <w:jc w:val="center"/>
              <w:rPr>
                <w:b/>
                <w:bCs/>
                <w:kern w:val="0"/>
                <w:sz w:val="15"/>
                <w:szCs w:val="15"/>
              </w:rPr>
            </w:pPr>
          </w:p>
        </w:tc>
        <w:tc>
          <w:tcPr>
            <w:tcW w:w="1102" w:type="dxa"/>
            <w:noWrap w:val="0"/>
            <w:vAlign w:val="top"/>
          </w:tcPr>
          <w:p w14:paraId="36A7365E">
            <w:pPr>
              <w:widowControl/>
              <w:spacing w:line="240" w:lineRule="exact"/>
              <w:jc w:val="center"/>
              <w:rPr>
                <w:b/>
                <w:bCs/>
                <w:kern w:val="0"/>
                <w:sz w:val="15"/>
                <w:szCs w:val="15"/>
              </w:rPr>
            </w:pPr>
          </w:p>
        </w:tc>
      </w:tr>
      <w:tr w14:paraId="3907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2D0C754">
            <w:r>
              <w:t>64</w:t>
            </w:r>
          </w:p>
        </w:tc>
        <w:tc>
          <w:tcPr>
            <w:tcW w:w="5603" w:type="dxa"/>
            <w:noWrap w:val="0"/>
            <w:vAlign w:val="center"/>
          </w:tcPr>
          <w:p w14:paraId="3E71782E">
            <w:pPr>
              <w:widowControl/>
              <w:spacing w:line="240" w:lineRule="exact"/>
              <w:jc w:val="left"/>
              <w:rPr>
                <w:kern w:val="0"/>
                <w:szCs w:val="21"/>
              </w:rPr>
            </w:pPr>
            <w:r>
              <w:rPr>
                <w:rFonts w:hint="eastAsia"/>
                <w:kern w:val="0"/>
                <w:szCs w:val="21"/>
              </w:rPr>
              <w:t>设计化学实验时，使用化学品应尽可能取向低毒、少量；强放热反应要从小规模开始，确认安全才能放大</w:t>
            </w:r>
          </w:p>
        </w:tc>
        <w:tc>
          <w:tcPr>
            <w:tcW w:w="2519" w:type="dxa"/>
            <w:gridSpan w:val="3"/>
            <w:noWrap w:val="0"/>
            <w:vAlign w:val="top"/>
          </w:tcPr>
          <w:p w14:paraId="1DDB0F9E">
            <w:pPr>
              <w:widowControl/>
              <w:spacing w:line="240" w:lineRule="exact"/>
              <w:jc w:val="center"/>
              <w:rPr>
                <w:bCs/>
                <w:kern w:val="0"/>
                <w:sz w:val="15"/>
                <w:szCs w:val="15"/>
              </w:rPr>
            </w:pPr>
            <w:r>
              <w:rPr>
                <w:rFonts w:hint="eastAsia"/>
                <w:bCs/>
                <w:kern w:val="0"/>
                <w:sz w:val="15"/>
                <w:szCs w:val="15"/>
              </w:rPr>
              <w:t>查看实验记录、询问</w:t>
            </w:r>
          </w:p>
        </w:tc>
      </w:tr>
      <w:tr w14:paraId="3C9D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BB90BE2">
            <w:r>
              <w:t>65</w:t>
            </w:r>
          </w:p>
        </w:tc>
        <w:tc>
          <w:tcPr>
            <w:tcW w:w="5603" w:type="dxa"/>
            <w:noWrap w:val="0"/>
            <w:vAlign w:val="center"/>
          </w:tcPr>
          <w:p w14:paraId="758473C3">
            <w:pPr>
              <w:widowControl/>
              <w:spacing w:line="240" w:lineRule="exact"/>
              <w:jc w:val="left"/>
              <w:rPr>
                <w:kern w:val="0"/>
                <w:szCs w:val="21"/>
              </w:rPr>
            </w:pPr>
            <w:r>
              <w:rPr>
                <w:kern w:val="0"/>
                <w:szCs w:val="21"/>
              </w:rPr>
              <w:t>危险性化学实验有实验指导书</w:t>
            </w:r>
          </w:p>
        </w:tc>
        <w:tc>
          <w:tcPr>
            <w:tcW w:w="697" w:type="dxa"/>
            <w:noWrap w:val="0"/>
            <w:vAlign w:val="top"/>
          </w:tcPr>
          <w:p w14:paraId="641250DE">
            <w:pPr>
              <w:widowControl/>
              <w:spacing w:line="240" w:lineRule="exact"/>
              <w:jc w:val="center"/>
              <w:rPr>
                <w:b/>
                <w:bCs/>
                <w:kern w:val="0"/>
                <w:sz w:val="15"/>
                <w:szCs w:val="15"/>
              </w:rPr>
            </w:pPr>
          </w:p>
        </w:tc>
        <w:tc>
          <w:tcPr>
            <w:tcW w:w="720" w:type="dxa"/>
            <w:noWrap w:val="0"/>
            <w:vAlign w:val="top"/>
          </w:tcPr>
          <w:p w14:paraId="0E95A2A3">
            <w:pPr>
              <w:widowControl/>
              <w:spacing w:line="240" w:lineRule="exact"/>
              <w:jc w:val="center"/>
              <w:rPr>
                <w:b/>
                <w:bCs/>
                <w:kern w:val="0"/>
                <w:sz w:val="15"/>
                <w:szCs w:val="15"/>
              </w:rPr>
            </w:pPr>
          </w:p>
        </w:tc>
        <w:tc>
          <w:tcPr>
            <w:tcW w:w="1102" w:type="dxa"/>
            <w:noWrap w:val="0"/>
            <w:vAlign w:val="top"/>
          </w:tcPr>
          <w:p w14:paraId="0B5901CE">
            <w:pPr>
              <w:widowControl/>
              <w:spacing w:line="240" w:lineRule="exact"/>
              <w:jc w:val="center"/>
              <w:rPr>
                <w:b/>
                <w:bCs/>
                <w:kern w:val="0"/>
                <w:sz w:val="15"/>
                <w:szCs w:val="15"/>
              </w:rPr>
            </w:pPr>
          </w:p>
        </w:tc>
      </w:tr>
      <w:tr w14:paraId="34A9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9CA963B">
            <w:r>
              <w:t>66</w:t>
            </w:r>
          </w:p>
        </w:tc>
        <w:tc>
          <w:tcPr>
            <w:tcW w:w="5603" w:type="dxa"/>
            <w:noWrap w:val="0"/>
            <w:vAlign w:val="center"/>
          </w:tcPr>
          <w:p w14:paraId="4FADA283">
            <w:pPr>
              <w:widowControl/>
              <w:spacing w:line="240" w:lineRule="exact"/>
              <w:jc w:val="left"/>
              <w:rPr>
                <w:kern w:val="0"/>
                <w:szCs w:val="21"/>
              </w:rPr>
            </w:pPr>
            <w:r>
              <w:rPr>
                <w:rFonts w:hint="eastAsia"/>
                <w:kern w:val="0"/>
                <w:szCs w:val="21"/>
                <w:lang w:eastAsia="zh-CN"/>
              </w:rPr>
              <w:t>电脑</w:t>
            </w:r>
            <w:r>
              <w:rPr>
                <w:rFonts w:hint="eastAsia"/>
                <w:kern w:val="0"/>
                <w:szCs w:val="21"/>
              </w:rPr>
              <w:t>、空调、电加热器、饮水机等不随意开机过夜</w:t>
            </w:r>
          </w:p>
        </w:tc>
        <w:tc>
          <w:tcPr>
            <w:tcW w:w="697" w:type="dxa"/>
            <w:noWrap w:val="0"/>
            <w:vAlign w:val="top"/>
          </w:tcPr>
          <w:p w14:paraId="1F4721FF">
            <w:pPr>
              <w:widowControl/>
              <w:spacing w:line="240" w:lineRule="exact"/>
              <w:jc w:val="center"/>
              <w:rPr>
                <w:b/>
                <w:bCs/>
                <w:kern w:val="0"/>
                <w:sz w:val="15"/>
                <w:szCs w:val="15"/>
              </w:rPr>
            </w:pPr>
          </w:p>
        </w:tc>
        <w:tc>
          <w:tcPr>
            <w:tcW w:w="720" w:type="dxa"/>
            <w:noWrap w:val="0"/>
            <w:vAlign w:val="top"/>
          </w:tcPr>
          <w:p w14:paraId="7C911D22">
            <w:pPr>
              <w:widowControl/>
              <w:spacing w:line="240" w:lineRule="exact"/>
              <w:jc w:val="center"/>
              <w:rPr>
                <w:b/>
                <w:bCs/>
                <w:kern w:val="0"/>
                <w:sz w:val="15"/>
                <w:szCs w:val="15"/>
              </w:rPr>
            </w:pPr>
          </w:p>
        </w:tc>
        <w:tc>
          <w:tcPr>
            <w:tcW w:w="1102" w:type="dxa"/>
            <w:noWrap w:val="0"/>
            <w:vAlign w:val="top"/>
          </w:tcPr>
          <w:p w14:paraId="4FEE3ACD">
            <w:pPr>
              <w:widowControl/>
              <w:spacing w:line="240" w:lineRule="exact"/>
              <w:jc w:val="center"/>
              <w:rPr>
                <w:b/>
                <w:bCs/>
                <w:kern w:val="0"/>
                <w:sz w:val="15"/>
                <w:szCs w:val="15"/>
              </w:rPr>
            </w:pPr>
          </w:p>
        </w:tc>
      </w:tr>
      <w:tr w14:paraId="357D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3AA3CCD">
            <w:r>
              <w:t>67</w:t>
            </w:r>
          </w:p>
        </w:tc>
        <w:tc>
          <w:tcPr>
            <w:tcW w:w="5603" w:type="dxa"/>
            <w:noWrap w:val="0"/>
            <w:vAlign w:val="center"/>
          </w:tcPr>
          <w:p w14:paraId="67A1C06E">
            <w:pPr>
              <w:widowControl/>
              <w:spacing w:line="240" w:lineRule="exact"/>
              <w:jc w:val="left"/>
              <w:rPr>
                <w:kern w:val="0"/>
                <w:szCs w:val="21"/>
              </w:rPr>
            </w:pPr>
            <w:r>
              <w:rPr>
                <w:rFonts w:hint="eastAsia"/>
                <w:kern w:val="0"/>
                <w:szCs w:val="21"/>
              </w:rPr>
              <w:t>对于不能断电的特殊仪器设备，采取了必要的防护措施（如双路供电、不间断电源、监控报警等）</w:t>
            </w:r>
          </w:p>
        </w:tc>
        <w:tc>
          <w:tcPr>
            <w:tcW w:w="697" w:type="dxa"/>
            <w:noWrap w:val="0"/>
            <w:vAlign w:val="top"/>
          </w:tcPr>
          <w:p w14:paraId="7507E599">
            <w:pPr>
              <w:widowControl/>
              <w:spacing w:line="240" w:lineRule="exact"/>
              <w:jc w:val="center"/>
              <w:rPr>
                <w:b/>
                <w:bCs/>
                <w:kern w:val="0"/>
                <w:sz w:val="15"/>
                <w:szCs w:val="15"/>
              </w:rPr>
            </w:pPr>
          </w:p>
        </w:tc>
        <w:tc>
          <w:tcPr>
            <w:tcW w:w="720" w:type="dxa"/>
            <w:noWrap w:val="0"/>
            <w:vAlign w:val="top"/>
          </w:tcPr>
          <w:p w14:paraId="6B63313B">
            <w:pPr>
              <w:widowControl/>
              <w:spacing w:line="240" w:lineRule="exact"/>
              <w:jc w:val="center"/>
              <w:rPr>
                <w:b/>
                <w:bCs/>
                <w:kern w:val="0"/>
                <w:sz w:val="15"/>
                <w:szCs w:val="15"/>
              </w:rPr>
            </w:pPr>
          </w:p>
        </w:tc>
        <w:tc>
          <w:tcPr>
            <w:tcW w:w="1102" w:type="dxa"/>
            <w:noWrap w:val="0"/>
            <w:vAlign w:val="top"/>
          </w:tcPr>
          <w:p w14:paraId="00F2CCC0">
            <w:pPr>
              <w:widowControl/>
              <w:spacing w:line="240" w:lineRule="exact"/>
              <w:jc w:val="center"/>
              <w:rPr>
                <w:b/>
                <w:bCs/>
                <w:kern w:val="0"/>
                <w:sz w:val="15"/>
                <w:szCs w:val="15"/>
              </w:rPr>
            </w:pPr>
          </w:p>
        </w:tc>
      </w:tr>
      <w:tr w14:paraId="4AF5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B00E5C8">
            <w:r>
              <w:t>68</w:t>
            </w:r>
          </w:p>
        </w:tc>
        <w:tc>
          <w:tcPr>
            <w:tcW w:w="5603" w:type="dxa"/>
            <w:noWrap w:val="0"/>
            <w:vAlign w:val="center"/>
          </w:tcPr>
          <w:p w14:paraId="66C2C6AF">
            <w:pPr>
              <w:widowControl/>
              <w:spacing w:line="240" w:lineRule="exact"/>
              <w:jc w:val="left"/>
              <w:rPr>
                <w:kern w:val="0"/>
                <w:szCs w:val="21"/>
              </w:rPr>
            </w:pPr>
            <w:r>
              <w:rPr>
                <w:kern w:val="0"/>
                <w:szCs w:val="21"/>
              </w:rPr>
              <w:t>对于高温、高压、高速运动、电磁辐射等特殊设备，对使用者有培训要求，有安全操作规程上墙，有安全警示标识和</w:t>
            </w:r>
            <w:r>
              <w:rPr>
                <w:szCs w:val="21"/>
              </w:rPr>
              <w:t>安全警示线（黄色）</w:t>
            </w:r>
            <w:r>
              <w:rPr>
                <w:kern w:val="0"/>
                <w:szCs w:val="21"/>
              </w:rPr>
              <w:t>，并配备相应安全防护设施（如防护罩、防护栏、自屏蔽设施等）</w:t>
            </w:r>
          </w:p>
        </w:tc>
        <w:tc>
          <w:tcPr>
            <w:tcW w:w="697" w:type="dxa"/>
            <w:noWrap w:val="0"/>
            <w:vAlign w:val="top"/>
          </w:tcPr>
          <w:p w14:paraId="2E4E58B4">
            <w:pPr>
              <w:widowControl/>
              <w:spacing w:line="240" w:lineRule="exact"/>
              <w:jc w:val="center"/>
              <w:rPr>
                <w:b/>
                <w:bCs/>
                <w:kern w:val="0"/>
                <w:sz w:val="15"/>
                <w:szCs w:val="15"/>
              </w:rPr>
            </w:pPr>
          </w:p>
        </w:tc>
        <w:tc>
          <w:tcPr>
            <w:tcW w:w="720" w:type="dxa"/>
            <w:noWrap w:val="0"/>
            <w:vAlign w:val="top"/>
          </w:tcPr>
          <w:p w14:paraId="1295807B">
            <w:pPr>
              <w:widowControl/>
              <w:spacing w:line="240" w:lineRule="exact"/>
              <w:jc w:val="center"/>
              <w:rPr>
                <w:b/>
                <w:bCs/>
                <w:kern w:val="0"/>
                <w:sz w:val="15"/>
                <w:szCs w:val="15"/>
              </w:rPr>
            </w:pPr>
          </w:p>
        </w:tc>
        <w:tc>
          <w:tcPr>
            <w:tcW w:w="1102" w:type="dxa"/>
            <w:noWrap w:val="0"/>
            <w:vAlign w:val="top"/>
          </w:tcPr>
          <w:p w14:paraId="1F9D8154">
            <w:pPr>
              <w:widowControl/>
              <w:spacing w:line="240" w:lineRule="exact"/>
              <w:jc w:val="center"/>
              <w:rPr>
                <w:b/>
                <w:bCs/>
                <w:kern w:val="0"/>
                <w:sz w:val="15"/>
                <w:szCs w:val="15"/>
              </w:rPr>
            </w:pPr>
          </w:p>
        </w:tc>
      </w:tr>
      <w:tr w14:paraId="71C0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656F517">
            <w:r>
              <w:t>69</w:t>
            </w:r>
          </w:p>
        </w:tc>
        <w:tc>
          <w:tcPr>
            <w:tcW w:w="5603" w:type="dxa"/>
            <w:noWrap w:val="0"/>
            <w:vAlign w:val="center"/>
          </w:tcPr>
          <w:p w14:paraId="69FFEBE7">
            <w:pPr>
              <w:widowControl/>
              <w:spacing w:line="240" w:lineRule="exact"/>
              <w:jc w:val="left"/>
              <w:rPr>
                <w:kern w:val="0"/>
                <w:szCs w:val="21"/>
              </w:rPr>
            </w:pPr>
            <w:r>
              <w:rPr>
                <w:szCs w:val="21"/>
              </w:rPr>
              <w:t>对于超高速离心机，需要放置在离心室，在离心过程中，工作人员保持合理安全距离</w:t>
            </w:r>
          </w:p>
        </w:tc>
        <w:tc>
          <w:tcPr>
            <w:tcW w:w="697" w:type="dxa"/>
            <w:noWrap w:val="0"/>
            <w:vAlign w:val="top"/>
          </w:tcPr>
          <w:p w14:paraId="758EC80D">
            <w:pPr>
              <w:widowControl/>
              <w:spacing w:line="240" w:lineRule="exact"/>
              <w:jc w:val="center"/>
              <w:rPr>
                <w:b/>
                <w:bCs/>
                <w:kern w:val="0"/>
                <w:sz w:val="15"/>
                <w:szCs w:val="15"/>
              </w:rPr>
            </w:pPr>
          </w:p>
        </w:tc>
        <w:tc>
          <w:tcPr>
            <w:tcW w:w="720" w:type="dxa"/>
            <w:noWrap w:val="0"/>
            <w:vAlign w:val="top"/>
          </w:tcPr>
          <w:p w14:paraId="3212BC5D">
            <w:pPr>
              <w:widowControl/>
              <w:spacing w:line="240" w:lineRule="exact"/>
              <w:jc w:val="center"/>
              <w:rPr>
                <w:b/>
                <w:bCs/>
                <w:kern w:val="0"/>
                <w:sz w:val="15"/>
                <w:szCs w:val="15"/>
              </w:rPr>
            </w:pPr>
          </w:p>
        </w:tc>
        <w:tc>
          <w:tcPr>
            <w:tcW w:w="1102" w:type="dxa"/>
            <w:noWrap w:val="0"/>
            <w:vAlign w:val="top"/>
          </w:tcPr>
          <w:p w14:paraId="68C66377">
            <w:pPr>
              <w:widowControl/>
              <w:spacing w:line="240" w:lineRule="exact"/>
              <w:jc w:val="center"/>
              <w:rPr>
                <w:b/>
                <w:bCs/>
                <w:kern w:val="0"/>
                <w:sz w:val="15"/>
                <w:szCs w:val="15"/>
              </w:rPr>
            </w:pPr>
          </w:p>
        </w:tc>
      </w:tr>
      <w:tr w14:paraId="4EF3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1047FDA">
            <w:r>
              <w:t>70</w:t>
            </w:r>
          </w:p>
        </w:tc>
        <w:tc>
          <w:tcPr>
            <w:tcW w:w="5603" w:type="dxa"/>
            <w:noWrap w:val="0"/>
            <w:vAlign w:val="center"/>
          </w:tcPr>
          <w:p w14:paraId="50204CCD">
            <w:pPr>
              <w:widowControl/>
              <w:spacing w:line="240" w:lineRule="exact"/>
              <w:jc w:val="left"/>
              <w:rPr>
                <w:kern w:val="0"/>
                <w:szCs w:val="21"/>
              </w:rPr>
            </w:pPr>
            <w:r>
              <w:rPr>
                <w:kern w:val="0"/>
                <w:szCs w:val="21"/>
              </w:rPr>
              <w:t>电子天平不放在阳光直射的地方，且用后及时清理</w:t>
            </w:r>
          </w:p>
        </w:tc>
        <w:tc>
          <w:tcPr>
            <w:tcW w:w="697" w:type="dxa"/>
            <w:noWrap w:val="0"/>
            <w:vAlign w:val="top"/>
          </w:tcPr>
          <w:p w14:paraId="3EE5EEFE">
            <w:pPr>
              <w:widowControl/>
              <w:spacing w:line="240" w:lineRule="exact"/>
              <w:jc w:val="center"/>
              <w:rPr>
                <w:b/>
                <w:bCs/>
                <w:kern w:val="0"/>
                <w:sz w:val="15"/>
                <w:szCs w:val="15"/>
              </w:rPr>
            </w:pPr>
          </w:p>
        </w:tc>
        <w:tc>
          <w:tcPr>
            <w:tcW w:w="720" w:type="dxa"/>
            <w:noWrap w:val="0"/>
            <w:vAlign w:val="top"/>
          </w:tcPr>
          <w:p w14:paraId="06140279">
            <w:pPr>
              <w:widowControl/>
              <w:spacing w:line="240" w:lineRule="exact"/>
              <w:jc w:val="center"/>
              <w:rPr>
                <w:b/>
                <w:bCs/>
                <w:kern w:val="0"/>
                <w:sz w:val="15"/>
                <w:szCs w:val="15"/>
              </w:rPr>
            </w:pPr>
          </w:p>
        </w:tc>
        <w:tc>
          <w:tcPr>
            <w:tcW w:w="1102" w:type="dxa"/>
            <w:noWrap w:val="0"/>
            <w:vAlign w:val="top"/>
          </w:tcPr>
          <w:p w14:paraId="50F887AB">
            <w:pPr>
              <w:widowControl/>
              <w:spacing w:line="240" w:lineRule="exact"/>
              <w:jc w:val="center"/>
              <w:rPr>
                <w:b/>
                <w:bCs/>
                <w:kern w:val="0"/>
                <w:sz w:val="15"/>
                <w:szCs w:val="15"/>
              </w:rPr>
            </w:pPr>
          </w:p>
        </w:tc>
      </w:tr>
      <w:tr w14:paraId="5E6E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601EE28">
            <w:r>
              <w:t>71</w:t>
            </w:r>
          </w:p>
        </w:tc>
        <w:tc>
          <w:tcPr>
            <w:tcW w:w="5603" w:type="dxa"/>
            <w:noWrap w:val="0"/>
            <w:vAlign w:val="center"/>
          </w:tcPr>
          <w:p w14:paraId="2C96D701">
            <w:pPr>
              <w:widowControl/>
              <w:spacing w:line="240" w:lineRule="exact"/>
              <w:jc w:val="left"/>
              <w:rPr>
                <w:kern w:val="0"/>
                <w:szCs w:val="21"/>
              </w:rPr>
            </w:pPr>
            <w:r>
              <w:rPr>
                <w:rFonts w:hint="eastAsia"/>
                <w:kern w:val="0"/>
                <w:szCs w:val="21"/>
              </w:rPr>
              <w:t>压力大于0.1MPa且容积大于30L的压力容器，须取得《特种设备使用登记证》和《压力容器登记卡》</w:t>
            </w:r>
          </w:p>
        </w:tc>
        <w:tc>
          <w:tcPr>
            <w:tcW w:w="697" w:type="dxa"/>
            <w:noWrap w:val="0"/>
            <w:vAlign w:val="top"/>
          </w:tcPr>
          <w:p w14:paraId="1871762F">
            <w:pPr>
              <w:widowControl/>
              <w:spacing w:line="240" w:lineRule="exact"/>
              <w:jc w:val="center"/>
              <w:rPr>
                <w:b/>
                <w:bCs/>
                <w:kern w:val="0"/>
                <w:sz w:val="15"/>
                <w:szCs w:val="15"/>
              </w:rPr>
            </w:pPr>
          </w:p>
        </w:tc>
        <w:tc>
          <w:tcPr>
            <w:tcW w:w="720" w:type="dxa"/>
            <w:noWrap w:val="0"/>
            <w:vAlign w:val="top"/>
          </w:tcPr>
          <w:p w14:paraId="296EBDDE">
            <w:pPr>
              <w:widowControl/>
              <w:spacing w:line="240" w:lineRule="exact"/>
              <w:jc w:val="center"/>
              <w:rPr>
                <w:b/>
                <w:bCs/>
                <w:kern w:val="0"/>
                <w:sz w:val="15"/>
                <w:szCs w:val="15"/>
              </w:rPr>
            </w:pPr>
          </w:p>
        </w:tc>
        <w:tc>
          <w:tcPr>
            <w:tcW w:w="1102" w:type="dxa"/>
            <w:noWrap w:val="0"/>
            <w:vAlign w:val="top"/>
          </w:tcPr>
          <w:p w14:paraId="7109C44D">
            <w:pPr>
              <w:widowControl/>
              <w:spacing w:line="240" w:lineRule="exact"/>
              <w:jc w:val="center"/>
              <w:rPr>
                <w:b/>
                <w:bCs/>
                <w:kern w:val="0"/>
                <w:sz w:val="15"/>
                <w:szCs w:val="15"/>
              </w:rPr>
            </w:pPr>
          </w:p>
        </w:tc>
      </w:tr>
      <w:tr w14:paraId="0441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079FC3C">
            <w:r>
              <w:t>72</w:t>
            </w:r>
          </w:p>
        </w:tc>
        <w:tc>
          <w:tcPr>
            <w:tcW w:w="5603" w:type="dxa"/>
            <w:noWrap w:val="0"/>
            <w:vAlign w:val="center"/>
          </w:tcPr>
          <w:p w14:paraId="5CF34DFD">
            <w:pPr>
              <w:widowControl/>
              <w:spacing w:line="240" w:lineRule="exact"/>
              <w:jc w:val="left"/>
              <w:rPr>
                <w:kern w:val="0"/>
                <w:szCs w:val="21"/>
              </w:rPr>
            </w:pPr>
            <w:r>
              <w:rPr>
                <w:kern w:val="0"/>
                <w:szCs w:val="21"/>
              </w:rPr>
              <w:t>贮存危险化学品的冰箱为防爆冰箱或经过防爆改造的冰箱，禁止使用无霜冰箱储存易燃易爆试剂</w:t>
            </w:r>
          </w:p>
        </w:tc>
        <w:tc>
          <w:tcPr>
            <w:tcW w:w="697" w:type="dxa"/>
            <w:noWrap w:val="0"/>
            <w:vAlign w:val="top"/>
          </w:tcPr>
          <w:p w14:paraId="2D03D837">
            <w:pPr>
              <w:widowControl/>
              <w:spacing w:line="240" w:lineRule="exact"/>
              <w:jc w:val="center"/>
              <w:rPr>
                <w:b/>
                <w:bCs/>
                <w:kern w:val="0"/>
                <w:sz w:val="15"/>
                <w:szCs w:val="15"/>
              </w:rPr>
            </w:pPr>
          </w:p>
        </w:tc>
        <w:tc>
          <w:tcPr>
            <w:tcW w:w="720" w:type="dxa"/>
            <w:noWrap w:val="0"/>
            <w:vAlign w:val="top"/>
          </w:tcPr>
          <w:p w14:paraId="3552FB1D">
            <w:pPr>
              <w:widowControl/>
              <w:spacing w:line="240" w:lineRule="exact"/>
              <w:jc w:val="center"/>
              <w:rPr>
                <w:b/>
                <w:bCs/>
                <w:kern w:val="0"/>
                <w:sz w:val="15"/>
                <w:szCs w:val="15"/>
              </w:rPr>
            </w:pPr>
          </w:p>
        </w:tc>
        <w:tc>
          <w:tcPr>
            <w:tcW w:w="1102" w:type="dxa"/>
            <w:noWrap w:val="0"/>
            <w:vAlign w:val="top"/>
          </w:tcPr>
          <w:p w14:paraId="2AAC7304">
            <w:pPr>
              <w:widowControl/>
              <w:spacing w:line="240" w:lineRule="exact"/>
              <w:jc w:val="center"/>
              <w:rPr>
                <w:b/>
                <w:bCs/>
                <w:kern w:val="0"/>
                <w:sz w:val="15"/>
                <w:szCs w:val="15"/>
              </w:rPr>
            </w:pPr>
          </w:p>
        </w:tc>
      </w:tr>
      <w:tr w14:paraId="6EE0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E223844">
            <w:r>
              <w:t>73</w:t>
            </w:r>
          </w:p>
        </w:tc>
        <w:tc>
          <w:tcPr>
            <w:tcW w:w="5603" w:type="dxa"/>
            <w:noWrap w:val="0"/>
            <w:vAlign w:val="center"/>
          </w:tcPr>
          <w:p w14:paraId="38A34C28">
            <w:pPr>
              <w:widowControl/>
              <w:spacing w:line="240" w:lineRule="exact"/>
              <w:jc w:val="left"/>
              <w:rPr>
                <w:kern w:val="0"/>
                <w:szCs w:val="21"/>
              </w:rPr>
            </w:pPr>
            <w:r>
              <w:rPr>
                <w:kern w:val="0"/>
                <w:szCs w:val="21"/>
              </w:rPr>
              <w:t>冰箱内存放的物品必须标识明确（包括品名、使用人、日期等），并经常清理，有清理记录</w:t>
            </w:r>
          </w:p>
        </w:tc>
        <w:tc>
          <w:tcPr>
            <w:tcW w:w="697" w:type="dxa"/>
            <w:noWrap w:val="0"/>
            <w:vAlign w:val="top"/>
          </w:tcPr>
          <w:p w14:paraId="6C4C2EA6">
            <w:pPr>
              <w:widowControl/>
              <w:spacing w:line="240" w:lineRule="exact"/>
              <w:jc w:val="center"/>
              <w:rPr>
                <w:b/>
                <w:bCs/>
                <w:kern w:val="0"/>
                <w:sz w:val="15"/>
                <w:szCs w:val="15"/>
              </w:rPr>
            </w:pPr>
          </w:p>
        </w:tc>
        <w:tc>
          <w:tcPr>
            <w:tcW w:w="720" w:type="dxa"/>
            <w:noWrap w:val="0"/>
            <w:vAlign w:val="top"/>
          </w:tcPr>
          <w:p w14:paraId="643455DA">
            <w:pPr>
              <w:widowControl/>
              <w:spacing w:line="240" w:lineRule="exact"/>
              <w:jc w:val="center"/>
              <w:rPr>
                <w:b/>
                <w:bCs/>
                <w:kern w:val="0"/>
                <w:sz w:val="15"/>
                <w:szCs w:val="15"/>
              </w:rPr>
            </w:pPr>
          </w:p>
        </w:tc>
        <w:tc>
          <w:tcPr>
            <w:tcW w:w="1102" w:type="dxa"/>
            <w:noWrap w:val="0"/>
            <w:vAlign w:val="top"/>
          </w:tcPr>
          <w:p w14:paraId="7A1F548C">
            <w:pPr>
              <w:widowControl/>
              <w:spacing w:line="240" w:lineRule="exact"/>
              <w:jc w:val="center"/>
              <w:rPr>
                <w:b/>
                <w:bCs/>
                <w:kern w:val="0"/>
                <w:sz w:val="15"/>
                <w:szCs w:val="15"/>
              </w:rPr>
            </w:pPr>
          </w:p>
        </w:tc>
      </w:tr>
      <w:tr w14:paraId="0CB7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147E117">
            <w:r>
              <w:t>74</w:t>
            </w:r>
          </w:p>
        </w:tc>
        <w:tc>
          <w:tcPr>
            <w:tcW w:w="5603" w:type="dxa"/>
            <w:noWrap w:val="0"/>
            <w:vAlign w:val="center"/>
          </w:tcPr>
          <w:p w14:paraId="73F6DC67">
            <w:pPr>
              <w:widowControl/>
              <w:spacing w:line="240" w:lineRule="exact"/>
              <w:jc w:val="left"/>
              <w:rPr>
                <w:kern w:val="0"/>
                <w:szCs w:val="21"/>
              </w:rPr>
            </w:pPr>
            <w:r>
              <w:rPr>
                <w:kern w:val="0"/>
                <w:szCs w:val="21"/>
              </w:rPr>
              <w:t>冰箱内储存试剂必须密封好</w:t>
            </w:r>
          </w:p>
        </w:tc>
        <w:tc>
          <w:tcPr>
            <w:tcW w:w="697" w:type="dxa"/>
            <w:noWrap w:val="0"/>
            <w:vAlign w:val="top"/>
          </w:tcPr>
          <w:p w14:paraId="5BBD8A39">
            <w:pPr>
              <w:widowControl/>
              <w:spacing w:line="240" w:lineRule="exact"/>
              <w:jc w:val="center"/>
              <w:rPr>
                <w:b/>
                <w:bCs/>
                <w:kern w:val="0"/>
                <w:sz w:val="15"/>
                <w:szCs w:val="15"/>
              </w:rPr>
            </w:pPr>
          </w:p>
        </w:tc>
        <w:tc>
          <w:tcPr>
            <w:tcW w:w="720" w:type="dxa"/>
            <w:noWrap w:val="0"/>
            <w:vAlign w:val="top"/>
          </w:tcPr>
          <w:p w14:paraId="1ADE8ACB">
            <w:pPr>
              <w:widowControl/>
              <w:spacing w:line="240" w:lineRule="exact"/>
              <w:jc w:val="center"/>
              <w:rPr>
                <w:b/>
                <w:bCs/>
                <w:kern w:val="0"/>
                <w:sz w:val="15"/>
                <w:szCs w:val="15"/>
              </w:rPr>
            </w:pPr>
          </w:p>
        </w:tc>
        <w:tc>
          <w:tcPr>
            <w:tcW w:w="1102" w:type="dxa"/>
            <w:noWrap w:val="0"/>
            <w:vAlign w:val="top"/>
          </w:tcPr>
          <w:p w14:paraId="7C21EC2C">
            <w:pPr>
              <w:widowControl/>
              <w:spacing w:line="240" w:lineRule="exact"/>
              <w:jc w:val="center"/>
              <w:rPr>
                <w:b/>
                <w:bCs/>
                <w:kern w:val="0"/>
                <w:sz w:val="15"/>
                <w:szCs w:val="15"/>
              </w:rPr>
            </w:pPr>
          </w:p>
        </w:tc>
      </w:tr>
      <w:tr w14:paraId="4ED3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13217F3">
            <w:r>
              <w:t>75</w:t>
            </w:r>
          </w:p>
        </w:tc>
        <w:tc>
          <w:tcPr>
            <w:tcW w:w="5603" w:type="dxa"/>
            <w:noWrap w:val="0"/>
            <w:vAlign w:val="center"/>
          </w:tcPr>
          <w:p w14:paraId="1DFDF297">
            <w:pPr>
              <w:widowControl/>
              <w:spacing w:line="240" w:lineRule="exact"/>
              <w:jc w:val="left"/>
              <w:rPr>
                <w:kern w:val="0"/>
                <w:szCs w:val="21"/>
              </w:rPr>
            </w:pPr>
            <w:r>
              <w:rPr>
                <w:rFonts w:hint="eastAsia"/>
                <w:kern w:val="0"/>
                <w:szCs w:val="21"/>
              </w:rPr>
              <w:t>冰箱不超期服役（一般使用期限控制为10年），如超期使用需经审批</w:t>
            </w:r>
          </w:p>
        </w:tc>
        <w:tc>
          <w:tcPr>
            <w:tcW w:w="697" w:type="dxa"/>
            <w:noWrap w:val="0"/>
            <w:vAlign w:val="top"/>
          </w:tcPr>
          <w:p w14:paraId="77DBD95D">
            <w:pPr>
              <w:widowControl/>
              <w:spacing w:line="240" w:lineRule="exact"/>
              <w:jc w:val="center"/>
              <w:rPr>
                <w:b/>
                <w:bCs/>
                <w:kern w:val="0"/>
                <w:sz w:val="15"/>
                <w:szCs w:val="15"/>
              </w:rPr>
            </w:pPr>
          </w:p>
        </w:tc>
        <w:tc>
          <w:tcPr>
            <w:tcW w:w="720" w:type="dxa"/>
            <w:noWrap w:val="0"/>
            <w:vAlign w:val="top"/>
          </w:tcPr>
          <w:p w14:paraId="4F58B1B6">
            <w:pPr>
              <w:widowControl/>
              <w:spacing w:line="240" w:lineRule="exact"/>
              <w:jc w:val="center"/>
              <w:rPr>
                <w:b/>
                <w:bCs/>
                <w:kern w:val="0"/>
                <w:sz w:val="15"/>
                <w:szCs w:val="15"/>
              </w:rPr>
            </w:pPr>
          </w:p>
        </w:tc>
        <w:tc>
          <w:tcPr>
            <w:tcW w:w="1102" w:type="dxa"/>
            <w:noWrap w:val="0"/>
            <w:vAlign w:val="top"/>
          </w:tcPr>
          <w:p w14:paraId="3B35FC6C">
            <w:pPr>
              <w:widowControl/>
              <w:spacing w:line="240" w:lineRule="exact"/>
              <w:jc w:val="center"/>
              <w:rPr>
                <w:b/>
                <w:bCs/>
                <w:kern w:val="0"/>
                <w:sz w:val="15"/>
                <w:szCs w:val="15"/>
              </w:rPr>
            </w:pPr>
          </w:p>
        </w:tc>
      </w:tr>
      <w:tr w14:paraId="7499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928C160">
            <w:r>
              <w:t>76</w:t>
            </w:r>
          </w:p>
        </w:tc>
        <w:tc>
          <w:tcPr>
            <w:tcW w:w="5603" w:type="dxa"/>
            <w:noWrap w:val="0"/>
            <w:vAlign w:val="center"/>
          </w:tcPr>
          <w:p w14:paraId="6AEA6E03">
            <w:pPr>
              <w:widowControl/>
              <w:spacing w:line="240" w:lineRule="exact"/>
              <w:jc w:val="left"/>
              <w:rPr>
                <w:kern w:val="0"/>
                <w:szCs w:val="21"/>
              </w:rPr>
            </w:pPr>
            <w:r>
              <w:rPr>
                <w:rFonts w:hint="eastAsia"/>
                <w:kern w:val="0"/>
                <w:szCs w:val="21"/>
              </w:rPr>
              <w:t>冰箱周围留出足够空间，周围不堆放杂物，影响散热</w:t>
            </w:r>
          </w:p>
        </w:tc>
        <w:tc>
          <w:tcPr>
            <w:tcW w:w="2519" w:type="dxa"/>
            <w:gridSpan w:val="3"/>
            <w:noWrap w:val="0"/>
            <w:vAlign w:val="top"/>
          </w:tcPr>
          <w:p w14:paraId="53435D99">
            <w:pPr>
              <w:widowControl/>
              <w:spacing w:line="240" w:lineRule="exact"/>
              <w:jc w:val="center"/>
              <w:rPr>
                <w:bCs/>
                <w:kern w:val="0"/>
                <w:sz w:val="15"/>
                <w:szCs w:val="15"/>
              </w:rPr>
            </w:pPr>
            <w:r>
              <w:rPr>
                <w:rFonts w:hint="eastAsia"/>
                <w:bCs/>
                <w:kern w:val="0"/>
                <w:sz w:val="15"/>
                <w:szCs w:val="15"/>
              </w:rPr>
              <w:t>左右及后部留出10cm，上部最少30cm的距离</w:t>
            </w:r>
          </w:p>
        </w:tc>
      </w:tr>
      <w:tr w14:paraId="35AD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E9C68AD">
            <w:r>
              <w:t>77</w:t>
            </w:r>
          </w:p>
        </w:tc>
        <w:tc>
          <w:tcPr>
            <w:tcW w:w="5603" w:type="dxa"/>
            <w:noWrap w:val="0"/>
            <w:vAlign w:val="center"/>
          </w:tcPr>
          <w:p w14:paraId="2393D882">
            <w:pPr>
              <w:widowControl/>
              <w:spacing w:line="240" w:lineRule="exact"/>
              <w:jc w:val="left"/>
              <w:rPr>
                <w:kern w:val="0"/>
                <w:szCs w:val="21"/>
              </w:rPr>
            </w:pPr>
            <w:r>
              <w:rPr>
                <w:kern w:val="0"/>
                <w:szCs w:val="21"/>
              </w:rPr>
              <w:t>实验室冰箱中不放置食品</w:t>
            </w:r>
          </w:p>
        </w:tc>
        <w:tc>
          <w:tcPr>
            <w:tcW w:w="697" w:type="dxa"/>
            <w:noWrap w:val="0"/>
            <w:vAlign w:val="top"/>
          </w:tcPr>
          <w:p w14:paraId="3DEB24F0">
            <w:pPr>
              <w:widowControl/>
              <w:spacing w:line="240" w:lineRule="exact"/>
              <w:jc w:val="center"/>
              <w:rPr>
                <w:b/>
                <w:bCs/>
                <w:kern w:val="0"/>
                <w:sz w:val="15"/>
                <w:szCs w:val="15"/>
              </w:rPr>
            </w:pPr>
          </w:p>
        </w:tc>
        <w:tc>
          <w:tcPr>
            <w:tcW w:w="720" w:type="dxa"/>
            <w:noWrap w:val="0"/>
            <w:vAlign w:val="top"/>
          </w:tcPr>
          <w:p w14:paraId="084DC99A">
            <w:pPr>
              <w:widowControl/>
              <w:spacing w:line="240" w:lineRule="exact"/>
              <w:jc w:val="center"/>
              <w:rPr>
                <w:b/>
                <w:bCs/>
                <w:kern w:val="0"/>
                <w:sz w:val="15"/>
                <w:szCs w:val="15"/>
              </w:rPr>
            </w:pPr>
          </w:p>
        </w:tc>
        <w:tc>
          <w:tcPr>
            <w:tcW w:w="1102" w:type="dxa"/>
            <w:noWrap w:val="0"/>
            <w:vAlign w:val="top"/>
          </w:tcPr>
          <w:p w14:paraId="0D6DAC13">
            <w:pPr>
              <w:widowControl/>
              <w:spacing w:line="240" w:lineRule="exact"/>
              <w:jc w:val="center"/>
              <w:rPr>
                <w:b/>
                <w:bCs/>
                <w:kern w:val="0"/>
                <w:sz w:val="15"/>
                <w:szCs w:val="15"/>
              </w:rPr>
            </w:pPr>
          </w:p>
        </w:tc>
      </w:tr>
      <w:tr w14:paraId="45E9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3D52BF3">
            <w:r>
              <w:t>78</w:t>
            </w:r>
          </w:p>
        </w:tc>
        <w:tc>
          <w:tcPr>
            <w:tcW w:w="5603" w:type="dxa"/>
            <w:noWrap w:val="0"/>
            <w:vAlign w:val="center"/>
          </w:tcPr>
          <w:p w14:paraId="6F1E3BFA">
            <w:pPr>
              <w:widowControl/>
              <w:spacing w:line="240" w:lineRule="exact"/>
              <w:jc w:val="left"/>
              <w:rPr>
                <w:kern w:val="0"/>
                <w:szCs w:val="21"/>
              </w:rPr>
            </w:pPr>
            <w:r>
              <w:rPr>
                <w:kern w:val="0"/>
                <w:szCs w:val="21"/>
              </w:rPr>
              <w:t>烘箱、电阻炉无超期服役现象（一般使用期限控制为12年）</w:t>
            </w:r>
          </w:p>
        </w:tc>
        <w:tc>
          <w:tcPr>
            <w:tcW w:w="697" w:type="dxa"/>
            <w:noWrap w:val="0"/>
            <w:vAlign w:val="top"/>
          </w:tcPr>
          <w:p w14:paraId="1BE862C5">
            <w:pPr>
              <w:widowControl/>
              <w:spacing w:line="240" w:lineRule="exact"/>
              <w:jc w:val="center"/>
              <w:rPr>
                <w:b/>
                <w:bCs/>
                <w:kern w:val="0"/>
                <w:sz w:val="15"/>
                <w:szCs w:val="15"/>
              </w:rPr>
            </w:pPr>
          </w:p>
        </w:tc>
        <w:tc>
          <w:tcPr>
            <w:tcW w:w="720" w:type="dxa"/>
            <w:noWrap w:val="0"/>
            <w:vAlign w:val="top"/>
          </w:tcPr>
          <w:p w14:paraId="47BB91F1">
            <w:pPr>
              <w:widowControl/>
              <w:spacing w:line="240" w:lineRule="exact"/>
              <w:jc w:val="center"/>
              <w:rPr>
                <w:b/>
                <w:bCs/>
                <w:kern w:val="0"/>
                <w:sz w:val="15"/>
                <w:szCs w:val="15"/>
              </w:rPr>
            </w:pPr>
          </w:p>
        </w:tc>
        <w:tc>
          <w:tcPr>
            <w:tcW w:w="1102" w:type="dxa"/>
            <w:noWrap w:val="0"/>
            <w:vAlign w:val="top"/>
          </w:tcPr>
          <w:p w14:paraId="41FC8F79">
            <w:pPr>
              <w:widowControl/>
              <w:spacing w:line="240" w:lineRule="exact"/>
              <w:jc w:val="center"/>
              <w:rPr>
                <w:b/>
                <w:bCs/>
                <w:kern w:val="0"/>
                <w:sz w:val="15"/>
                <w:szCs w:val="15"/>
              </w:rPr>
            </w:pPr>
          </w:p>
        </w:tc>
      </w:tr>
      <w:tr w14:paraId="6EEF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1A28CE6">
            <w:r>
              <w:t>79</w:t>
            </w:r>
          </w:p>
        </w:tc>
        <w:tc>
          <w:tcPr>
            <w:tcW w:w="5603" w:type="dxa"/>
            <w:noWrap w:val="0"/>
            <w:vAlign w:val="center"/>
          </w:tcPr>
          <w:p w14:paraId="6F555708">
            <w:pPr>
              <w:widowControl/>
              <w:spacing w:line="240" w:lineRule="exact"/>
              <w:jc w:val="left"/>
              <w:rPr>
                <w:kern w:val="0"/>
                <w:szCs w:val="21"/>
              </w:rPr>
            </w:pPr>
            <w:r>
              <w:rPr>
                <w:rFonts w:hint="eastAsia"/>
                <w:kern w:val="0"/>
                <w:szCs w:val="21"/>
              </w:rPr>
              <w:t>烘箱、电阻炉不使用接线板供电</w:t>
            </w:r>
          </w:p>
        </w:tc>
        <w:tc>
          <w:tcPr>
            <w:tcW w:w="697" w:type="dxa"/>
            <w:noWrap w:val="0"/>
            <w:vAlign w:val="top"/>
          </w:tcPr>
          <w:p w14:paraId="6332B609">
            <w:pPr>
              <w:widowControl/>
              <w:spacing w:line="240" w:lineRule="exact"/>
              <w:jc w:val="center"/>
              <w:rPr>
                <w:b/>
                <w:bCs/>
                <w:kern w:val="0"/>
                <w:sz w:val="15"/>
                <w:szCs w:val="15"/>
              </w:rPr>
            </w:pPr>
          </w:p>
        </w:tc>
        <w:tc>
          <w:tcPr>
            <w:tcW w:w="720" w:type="dxa"/>
            <w:noWrap w:val="0"/>
            <w:vAlign w:val="top"/>
          </w:tcPr>
          <w:p w14:paraId="723F4879">
            <w:pPr>
              <w:widowControl/>
              <w:spacing w:line="240" w:lineRule="exact"/>
              <w:jc w:val="center"/>
              <w:rPr>
                <w:b/>
                <w:bCs/>
                <w:kern w:val="0"/>
                <w:sz w:val="15"/>
                <w:szCs w:val="15"/>
              </w:rPr>
            </w:pPr>
          </w:p>
        </w:tc>
        <w:tc>
          <w:tcPr>
            <w:tcW w:w="1102" w:type="dxa"/>
            <w:noWrap w:val="0"/>
            <w:vAlign w:val="top"/>
          </w:tcPr>
          <w:p w14:paraId="3AA166F2">
            <w:pPr>
              <w:widowControl/>
              <w:spacing w:line="240" w:lineRule="exact"/>
              <w:jc w:val="center"/>
              <w:rPr>
                <w:b/>
                <w:bCs/>
                <w:kern w:val="0"/>
                <w:sz w:val="15"/>
                <w:szCs w:val="15"/>
              </w:rPr>
            </w:pPr>
          </w:p>
        </w:tc>
      </w:tr>
      <w:tr w14:paraId="7B1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86098E8">
            <w:r>
              <w:t>80</w:t>
            </w:r>
          </w:p>
        </w:tc>
        <w:tc>
          <w:tcPr>
            <w:tcW w:w="5603" w:type="dxa"/>
            <w:noWrap w:val="0"/>
            <w:vAlign w:val="center"/>
          </w:tcPr>
          <w:p w14:paraId="7D2BD59E">
            <w:pPr>
              <w:widowControl/>
              <w:spacing w:line="240" w:lineRule="exact"/>
              <w:jc w:val="left"/>
              <w:rPr>
                <w:kern w:val="0"/>
                <w:szCs w:val="21"/>
              </w:rPr>
            </w:pPr>
            <w:r>
              <w:rPr>
                <w:kern w:val="0"/>
                <w:szCs w:val="21"/>
              </w:rPr>
              <w:t>不在烘箱等加热设备内烘烤易燃易爆化学试剂、塑料等易燃物品、不使用塑料筐盛放实验物品在烘箱等加热设备内烘烤</w:t>
            </w:r>
          </w:p>
        </w:tc>
        <w:tc>
          <w:tcPr>
            <w:tcW w:w="697" w:type="dxa"/>
            <w:noWrap w:val="0"/>
            <w:vAlign w:val="top"/>
          </w:tcPr>
          <w:p w14:paraId="77A6326C">
            <w:pPr>
              <w:widowControl/>
              <w:spacing w:line="240" w:lineRule="exact"/>
              <w:jc w:val="center"/>
              <w:rPr>
                <w:b/>
                <w:bCs/>
                <w:kern w:val="0"/>
                <w:sz w:val="15"/>
                <w:szCs w:val="15"/>
              </w:rPr>
            </w:pPr>
          </w:p>
        </w:tc>
        <w:tc>
          <w:tcPr>
            <w:tcW w:w="720" w:type="dxa"/>
            <w:noWrap w:val="0"/>
            <w:vAlign w:val="top"/>
          </w:tcPr>
          <w:p w14:paraId="5AECF24E">
            <w:pPr>
              <w:widowControl/>
              <w:spacing w:line="240" w:lineRule="exact"/>
              <w:jc w:val="center"/>
              <w:rPr>
                <w:b/>
                <w:bCs/>
                <w:kern w:val="0"/>
                <w:sz w:val="15"/>
                <w:szCs w:val="15"/>
              </w:rPr>
            </w:pPr>
          </w:p>
        </w:tc>
        <w:tc>
          <w:tcPr>
            <w:tcW w:w="1102" w:type="dxa"/>
            <w:noWrap w:val="0"/>
            <w:vAlign w:val="top"/>
          </w:tcPr>
          <w:p w14:paraId="442F0A17">
            <w:pPr>
              <w:widowControl/>
              <w:spacing w:line="240" w:lineRule="exact"/>
              <w:jc w:val="center"/>
              <w:rPr>
                <w:b/>
                <w:bCs/>
                <w:kern w:val="0"/>
                <w:sz w:val="15"/>
                <w:szCs w:val="15"/>
              </w:rPr>
            </w:pPr>
          </w:p>
        </w:tc>
      </w:tr>
      <w:tr w14:paraId="61BF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25D8571">
            <w:r>
              <w:t>81</w:t>
            </w:r>
          </w:p>
        </w:tc>
        <w:tc>
          <w:tcPr>
            <w:tcW w:w="5603" w:type="dxa"/>
            <w:noWrap w:val="0"/>
            <w:vAlign w:val="center"/>
          </w:tcPr>
          <w:p w14:paraId="5E2BF4A5">
            <w:pPr>
              <w:widowControl/>
              <w:spacing w:line="240" w:lineRule="exact"/>
              <w:jc w:val="left"/>
              <w:rPr>
                <w:kern w:val="0"/>
                <w:szCs w:val="21"/>
              </w:rPr>
            </w:pPr>
            <w:r>
              <w:rPr>
                <w:kern w:val="0"/>
                <w:szCs w:val="21"/>
              </w:rPr>
              <w:t>烘箱、电阻炉等附近不存放气体钢瓶、易燃易爆化学品</w:t>
            </w:r>
          </w:p>
        </w:tc>
        <w:tc>
          <w:tcPr>
            <w:tcW w:w="697" w:type="dxa"/>
            <w:noWrap w:val="0"/>
            <w:vAlign w:val="top"/>
          </w:tcPr>
          <w:p w14:paraId="1507FFFF">
            <w:pPr>
              <w:widowControl/>
              <w:spacing w:line="240" w:lineRule="exact"/>
              <w:jc w:val="center"/>
              <w:rPr>
                <w:b/>
                <w:bCs/>
                <w:kern w:val="0"/>
                <w:sz w:val="15"/>
                <w:szCs w:val="15"/>
              </w:rPr>
            </w:pPr>
          </w:p>
        </w:tc>
        <w:tc>
          <w:tcPr>
            <w:tcW w:w="720" w:type="dxa"/>
            <w:noWrap w:val="0"/>
            <w:vAlign w:val="top"/>
          </w:tcPr>
          <w:p w14:paraId="69178753">
            <w:pPr>
              <w:widowControl/>
              <w:spacing w:line="240" w:lineRule="exact"/>
              <w:jc w:val="center"/>
              <w:rPr>
                <w:b/>
                <w:bCs/>
                <w:kern w:val="0"/>
                <w:sz w:val="15"/>
                <w:szCs w:val="15"/>
              </w:rPr>
            </w:pPr>
          </w:p>
        </w:tc>
        <w:tc>
          <w:tcPr>
            <w:tcW w:w="1102" w:type="dxa"/>
            <w:noWrap w:val="0"/>
            <w:vAlign w:val="top"/>
          </w:tcPr>
          <w:p w14:paraId="730D85C7">
            <w:pPr>
              <w:widowControl/>
              <w:spacing w:line="240" w:lineRule="exact"/>
              <w:jc w:val="center"/>
              <w:rPr>
                <w:b/>
                <w:bCs/>
                <w:kern w:val="0"/>
                <w:sz w:val="15"/>
                <w:szCs w:val="15"/>
              </w:rPr>
            </w:pPr>
          </w:p>
        </w:tc>
      </w:tr>
      <w:tr w14:paraId="7A02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C48D213">
            <w:r>
              <w:t>82</w:t>
            </w:r>
          </w:p>
        </w:tc>
        <w:tc>
          <w:tcPr>
            <w:tcW w:w="5603" w:type="dxa"/>
            <w:noWrap w:val="0"/>
            <w:vAlign w:val="center"/>
          </w:tcPr>
          <w:p w14:paraId="56837C56">
            <w:pPr>
              <w:widowControl/>
              <w:spacing w:line="240" w:lineRule="exact"/>
              <w:jc w:val="left"/>
              <w:rPr>
                <w:kern w:val="0"/>
                <w:szCs w:val="21"/>
              </w:rPr>
            </w:pPr>
            <w:r>
              <w:rPr>
                <w:rFonts w:hint="eastAsia"/>
                <w:kern w:val="0"/>
                <w:szCs w:val="21"/>
              </w:rPr>
              <w:t>烘箱、电阻炉等加热设备应放置在通风干燥处，不直接放置在木桌、木板等易燃物品上，周围有一定的散热空间，设备边上不能放置易燃易爆化学品、气体钢瓶、冰箱、杂物等</w:t>
            </w:r>
          </w:p>
        </w:tc>
        <w:tc>
          <w:tcPr>
            <w:tcW w:w="697" w:type="dxa"/>
            <w:noWrap w:val="0"/>
            <w:vAlign w:val="top"/>
          </w:tcPr>
          <w:p w14:paraId="035DB5F0">
            <w:pPr>
              <w:widowControl/>
              <w:spacing w:line="240" w:lineRule="exact"/>
              <w:jc w:val="center"/>
              <w:rPr>
                <w:b/>
                <w:bCs/>
                <w:kern w:val="0"/>
                <w:sz w:val="15"/>
                <w:szCs w:val="15"/>
              </w:rPr>
            </w:pPr>
          </w:p>
        </w:tc>
        <w:tc>
          <w:tcPr>
            <w:tcW w:w="720" w:type="dxa"/>
            <w:noWrap w:val="0"/>
            <w:vAlign w:val="top"/>
          </w:tcPr>
          <w:p w14:paraId="6407F939">
            <w:pPr>
              <w:widowControl/>
              <w:spacing w:line="240" w:lineRule="exact"/>
              <w:jc w:val="center"/>
              <w:rPr>
                <w:b/>
                <w:bCs/>
                <w:kern w:val="0"/>
                <w:sz w:val="15"/>
                <w:szCs w:val="15"/>
              </w:rPr>
            </w:pPr>
          </w:p>
        </w:tc>
        <w:tc>
          <w:tcPr>
            <w:tcW w:w="1102" w:type="dxa"/>
            <w:noWrap w:val="0"/>
            <w:vAlign w:val="top"/>
          </w:tcPr>
          <w:p w14:paraId="695D8888">
            <w:pPr>
              <w:widowControl/>
              <w:spacing w:line="240" w:lineRule="exact"/>
              <w:jc w:val="center"/>
              <w:rPr>
                <w:b/>
                <w:bCs/>
                <w:kern w:val="0"/>
                <w:sz w:val="15"/>
                <w:szCs w:val="15"/>
              </w:rPr>
            </w:pPr>
          </w:p>
        </w:tc>
      </w:tr>
      <w:tr w14:paraId="207D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C6F451E">
            <w:r>
              <w:t>83</w:t>
            </w:r>
          </w:p>
        </w:tc>
        <w:tc>
          <w:tcPr>
            <w:tcW w:w="5603" w:type="dxa"/>
            <w:noWrap w:val="0"/>
            <w:vAlign w:val="center"/>
          </w:tcPr>
          <w:p w14:paraId="717D5066">
            <w:pPr>
              <w:widowControl/>
              <w:spacing w:line="240" w:lineRule="exact"/>
              <w:jc w:val="left"/>
              <w:rPr>
                <w:kern w:val="0"/>
                <w:szCs w:val="21"/>
              </w:rPr>
            </w:pPr>
            <w:r>
              <w:rPr>
                <w:rFonts w:hint="eastAsia"/>
                <w:kern w:val="0"/>
                <w:szCs w:val="21"/>
              </w:rPr>
              <w:t>使用烘箱、电阻炉等加热设备时有人值守，或有实时监控设施；使用中的烘箱、电阻炉要标识使用人姓名</w:t>
            </w:r>
          </w:p>
        </w:tc>
        <w:tc>
          <w:tcPr>
            <w:tcW w:w="697" w:type="dxa"/>
            <w:noWrap w:val="0"/>
            <w:vAlign w:val="top"/>
          </w:tcPr>
          <w:p w14:paraId="436050C2">
            <w:pPr>
              <w:widowControl/>
              <w:spacing w:line="240" w:lineRule="exact"/>
              <w:jc w:val="center"/>
              <w:rPr>
                <w:b/>
                <w:bCs/>
                <w:kern w:val="0"/>
                <w:sz w:val="15"/>
                <w:szCs w:val="15"/>
              </w:rPr>
            </w:pPr>
          </w:p>
        </w:tc>
        <w:tc>
          <w:tcPr>
            <w:tcW w:w="720" w:type="dxa"/>
            <w:noWrap w:val="0"/>
            <w:vAlign w:val="top"/>
          </w:tcPr>
          <w:p w14:paraId="11377F0D">
            <w:pPr>
              <w:widowControl/>
              <w:spacing w:line="240" w:lineRule="exact"/>
              <w:jc w:val="center"/>
              <w:rPr>
                <w:b/>
                <w:bCs/>
                <w:kern w:val="0"/>
                <w:sz w:val="15"/>
                <w:szCs w:val="15"/>
              </w:rPr>
            </w:pPr>
          </w:p>
        </w:tc>
        <w:tc>
          <w:tcPr>
            <w:tcW w:w="1102" w:type="dxa"/>
            <w:noWrap w:val="0"/>
            <w:vAlign w:val="top"/>
          </w:tcPr>
          <w:p w14:paraId="20DFA918">
            <w:pPr>
              <w:widowControl/>
              <w:spacing w:line="240" w:lineRule="exact"/>
              <w:jc w:val="center"/>
              <w:rPr>
                <w:b/>
                <w:bCs/>
                <w:kern w:val="0"/>
                <w:sz w:val="15"/>
                <w:szCs w:val="15"/>
              </w:rPr>
            </w:pPr>
          </w:p>
        </w:tc>
      </w:tr>
      <w:tr w14:paraId="271E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F68FDFB">
            <w:r>
              <w:t>84</w:t>
            </w:r>
          </w:p>
        </w:tc>
        <w:tc>
          <w:tcPr>
            <w:tcW w:w="5603" w:type="dxa"/>
            <w:noWrap w:val="0"/>
            <w:vAlign w:val="center"/>
          </w:tcPr>
          <w:p w14:paraId="19EB9951">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697" w:type="dxa"/>
            <w:noWrap w:val="0"/>
            <w:vAlign w:val="top"/>
          </w:tcPr>
          <w:p w14:paraId="4216D224">
            <w:pPr>
              <w:widowControl/>
              <w:spacing w:line="240" w:lineRule="exact"/>
              <w:jc w:val="center"/>
              <w:rPr>
                <w:b/>
                <w:bCs/>
                <w:kern w:val="0"/>
                <w:sz w:val="15"/>
                <w:szCs w:val="15"/>
              </w:rPr>
            </w:pPr>
          </w:p>
        </w:tc>
        <w:tc>
          <w:tcPr>
            <w:tcW w:w="720" w:type="dxa"/>
            <w:noWrap w:val="0"/>
            <w:vAlign w:val="top"/>
          </w:tcPr>
          <w:p w14:paraId="6DB74CFE">
            <w:pPr>
              <w:widowControl/>
              <w:spacing w:line="240" w:lineRule="exact"/>
              <w:jc w:val="center"/>
              <w:rPr>
                <w:b/>
                <w:bCs/>
                <w:kern w:val="0"/>
                <w:sz w:val="15"/>
                <w:szCs w:val="15"/>
              </w:rPr>
            </w:pPr>
          </w:p>
        </w:tc>
        <w:tc>
          <w:tcPr>
            <w:tcW w:w="1102" w:type="dxa"/>
            <w:noWrap w:val="0"/>
            <w:vAlign w:val="top"/>
          </w:tcPr>
          <w:p w14:paraId="765FC186">
            <w:pPr>
              <w:widowControl/>
              <w:spacing w:line="240" w:lineRule="exact"/>
              <w:jc w:val="center"/>
              <w:rPr>
                <w:b/>
                <w:bCs/>
                <w:kern w:val="0"/>
                <w:sz w:val="15"/>
                <w:szCs w:val="15"/>
              </w:rPr>
            </w:pPr>
          </w:p>
        </w:tc>
      </w:tr>
      <w:tr w14:paraId="10CC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6EF3EFF">
            <w:r>
              <w:t>85</w:t>
            </w:r>
          </w:p>
        </w:tc>
        <w:tc>
          <w:tcPr>
            <w:tcW w:w="5603" w:type="dxa"/>
            <w:noWrap w:val="0"/>
            <w:vAlign w:val="center"/>
          </w:tcPr>
          <w:p w14:paraId="6A6EE65C">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697" w:type="dxa"/>
            <w:noWrap w:val="0"/>
            <w:vAlign w:val="top"/>
          </w:tcPr>
          <w:p w14:paraId="385F12D3">
            <w:pPr>
              <w:widowControl/>
              <w:spacing w:line="240" w:lineRule="exact"/>
              <w:jc w:val="center"/>
              <w:rPr>
                <w:b/>
                <w:bCs/>
                <w:kern w:val="0"/>
                <w:sz w:val="15"/>
                <w:szCs w:val="15"/>
              </w:rPr>
            </w:pPr>
          </w:p>
        </w:tc>
        <w:tc>
          <w:tcPr>
            <w:tcW w:w="720" w:type="dxa"/>
            <w:noWrap w:val="0"/>
            <w:vAlign w:val="top"/>
          </w:tcPr>
          <w:p w14:paraId="7FC60B91">
            <w:pPr>
              <w:widowControl/>
              <w:spacing w:line="240" w:lineRule="exact"/>
              <w:jc w:val="center"/>
              <w:rPr>
                <w:b/>
                <w:bCs/>
                <w:kern w:val="0"/>
                <w:sz w:val="15"/>
                <w:szCs w:val="15"/>
              </w:rPr>
            </w:pPr>
          </w:p>
        </w:tc>
        <w:tc>
          <w:tcPr>
            <w:tcW w:w="1102" w:type="dxa"/>
            <w:noWrap w:val="0"/>
            <w:vAlign w:val="top"/>
          </w:tcPr>
          <w:p w14:paraId="2A2F4605">
            <w:pPr>
              <w:widowControl/>
              <w:spacing w:line="240" w:lineRule="exact"/>
              <w:jc w:val="center"/>
              <w:rPr>
                <w:b/>
                <w:bCs/>
                <w:kern w:val="0"/>
                <w:sz w:val="15"/>
                <w:szCs w:val="15"/>
              </w:rPr>
            </w:pPr>
          </w:p>
        </w:tc>
      </w:tr>
      <w:tr w14:paraId="28D0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6757A47">
            <w:r>
              <w:t>86</w:t>
            </w:r>
          </w:p>
        </w:tc>
        <w:tc>
          <w:tcPr>
            <w:tcW w:w="5603" w:type="dxa"/>
            <w:noWrap w:val="0"/>
            <w:vAlign w:val="center"/>
          </w:tcPr>
          <w:p w14:paraId="2AE3E85F">
            <w:pPr>
              <w:widowControl/>
              <w:spacing w:line="240" w:lineRule="exact"/>
              <w:jc w:val="left"/>
              <w:rPr>
                <w:rFonts w:hint="eastAsia"/>
                <w:kern w:val="0"/>
                <w:szCs w:val="21"/>
              </w:rPr>
            </w:pPr>
            <w:r>
              <w:rPr>
                <w:rFonts w:hint="eastAsia"/>
                <w:kern w:val="0"/>
                <w:szCs w:val="21"/>
              </w:rPr>
              <w:t>消防安全重点部位（计算机房、气瓶室、药品库房）是否落实：1 重点部位的消防安全制度、2重点部位的消防安全操作规程、3 灭火和应急疏散预案</w:t>
            </w:r>
          </w:p>
        </w:tc>
        <w:tc>
          <w:tcPr>
            <w:tcW w:w="697" w:type="dxa"/>
            <w:noWrap w:val="0"/>
            <w:vAlign w:val="top"/>
          </w:tcPr>
          <w:p w14:paraId="0C69DF12">
            <w:pPr>
              <w:widowControl/>
              <w:spacing w:line="240" w:lineRule="exact"/>
              <w:jc w:val="center"/>
              <w:rPr>
                <w:b/>
                <w:bCs/>
                <w:kern w:val="0"/>
                <w:sz w:val="15"/>
                <w:szCs w:val="15"/>
              </w:rPr>
            </w:pPr>
          </w:p>
        </w:tc>
        <w:tc>
          <w:tcPr>
            <w:tcW w:w="720" w:type="dxa"/>
            <w:noWrap w:val="0"/>
            <w:vAlign w:val="top"/>
          </w:tcPr>
          <w:p w14:paraId="00980AD6">
            <w:pPr>
              <w:widowControl/>
              <w:spacing w:line="240" w:lineRule="exact"/>
              <w:jc w:val="center"/>
              <w:rPr>
                <w:b/>
                <w:bCs/>
                <w:kern w:val="0"/>
                <w:sz w:val="15"/>
                <w:szCs w:val="15"/>
              </w:rPr>
            </w:pPr>
          </w:p>
        </w:tc>
        <w:tc>
          <w:tcPr>
            <w:tcW w:w="1102" w:type="dxa"/>
            <w:noWrap w:val="0"/>
            <w:vAlign w:val="top"/>
          </w:tcPr>
          <w:p w14:paraId="63FA7BB6">
            <w:pPr>
              <w:widowControl/>
              <w:spacing w:line="240" w:lineRule="exact"/>
              <w:jc w:val="center"/>
              <w:rPr>
                <w:b/>
                <w:bCs/>
                <w:kern w:val="0"/>
                <w:sz w:val="15"/>
                <w:szCs w:val="15"/>
              </w:rPr>
            </w:pPr>
          </w:p>
        </w:tc>
      </w:tr>
    </w:tbl>
    <w:p w14:paraId="7862407C">
      <w:pPr>
        <w:adjustRightInd w:val="0"/>
        <w:snapToGrid w:val="0"/>
        <w:spacing w:before="156" w:beforeLines="50"/>
        <w:jc w:val="left"/>
        <w:rPr>
          <w:sz w:val="24"/>
        </w:rPr>
      </w:pPr>
      <w:r>
        <w:rPr>
          <w:sz w:val="24"/>
        </w:rPr>
        <w:t>注：请根据实际情况</w:t>
      </w:r>
      <w:r>
        <w:rPr>
          <w:rFonts w:hint="eastAsia"/>
          <w:sz w:val="24"/>
        </w:rPr>
        <w:t>对照检查</w:t>
      </w:r>
      <w:r>
        <w:rPr>
          <w:rFonts w:hint="eastAsia"/>
          <w:sz w:val="24"/>
          <w:lang w:eastAsia="zh-CN"/>
        </w:rPr>
        <w:t>教学</w:t>
      </w:r>
      <w:r>
        <w:rPr>
          <w:rFonts w:hint="eastAsia"/>
          <w:sz w:val="24"/>
        </w:rPr>
        <w:t>实验室安全状况，对</w:t>
      </w:r>
      <w:r>
        <w:rPr>
          <w:sz w:val="24"/>
        </w:rPr>
        <w:t>不符合</w:t>
      </w:r>
      <w:r>
        <w:rPr>
          <w:rFonts w:hint="eastAsia"/>
          <w:sz w:val="24"/>
        </w:rPr>
        <w:t>的情况应及时整改，学院或学校</w:t>
      </w:r>
      <w:r>
        <w:rPr>
          <w:rFonts w:hint="eastAsia"/>
          <w:sz w:val="24"/>
          <w:lang w:eastAsia="zh-CN"/>
        </w:rPr>
        <w:t>查出</w:t>
      </w:r>
      <w:r>
        <w:rPr>
          <w:rFonts w:hint="eastAsia"/>
          <w:sz w:val="24"/>
        </w:rPr>
        <w:t>未整改情况将依据相关办法处理。</w:t>
      </w:r>
    </w:p>
    <w:p w14:paraId="7CDA937B">
      <w:pPr>
        <w:rPr>
          <w:rFonts w:hint="default" w:ascii="仿宋" w:hAnsi="仿宋" w:eastAsia="仿宋" w:cs="仿宋"/>
          <w:i w:val="0"/>
          <w:iCs w:val="0"/>
          <w:caps w:val="0"/>
          <w:color w:val="000000"/>
          <w:spacing w:val="0"/>
          <w:sz w:val="32"/>
          <w:szCs w:val="32"/>
          <w:lang w:val="en-US" w:eastAsia="zh-CN"/>
        </w:rPr>
      </w:pPr>
    </w:p>
    <w:p w14:paraId="4A721732">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A6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9FD8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B9FD8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MDFmMjk3MDdjNDMxN2Q3NGNjZWUxNGE3NGM4OGEifQ=="/>
  </w:docVars>
  <w:rsids>
    <w:rsidRoot w:val="357F4B29"/>
    <w:rsid w:val="357F4B29"/>
    <w:rsid w:val="4BC9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3556</Words>
  <Characters>3672</Characters>
  <Lines>0</Lines>
  <Paragraphs>0</Paragraphs>
  <TotalTime>1</TotalTime>
  <ScaleCrop>false</ScaleCrop>
  <LinksUpToDate>false</LinksUpToDate>
  <CharactersWithSpaces>3677</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2025-04-23T09:14:00Z</dcterms:created>
  <dc:creator>哼哈1418364226</dc:creator>
  <cp:lastModifiedBy>哼哈1418364226</cp:lastModifiedBy>
  <dcterms:modified xsi:type="dcterms:W3CDTF">2025-04-24T06:38:41Z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6DC836A905984290863E1690A97F62F3_11</vt:lpwstr>
  </property>
  <property fmtid="{D5CDD505-2E9C-101B-9397-08002B2CF9AE}" pid="4" name="KSOTemplateDocerSaveRecord">
    <vt:lpwstr>eyJoZGlkIjoiNDQ3YjQxNTZmYjZkOThjMzZjZjAzZTJjNDg3MmMzOGMiLCJ1c2VySWQiOiIyNjY4MzI1MCJ9</vt:lpwstr>
  </property>
</Properties>
</file>