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中西临243;中药九24（屠呦呦班）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中西临243;中药九24（屠呦呦班）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中医康复24;中医九24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中医康复24;中医九24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中国简史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7~9,17周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24级港澳台生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