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国际教育学院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境外24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杨继兵/常澍晨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卢冬雪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 国教楼-A203  宁丽琴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 国教楼-A203  黄国顺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 国教楼-A203  朱玲艳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 国教楼-A203  李海啸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庄艺/宋亚芳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卢冬雪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 国教楼-A203  宁丽琴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 国教楼-A203  黄国顺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 国教楼-A203  朱玲艳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 国教楼-A203  李海啸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杨继兵/常澍晨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卢冬雪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(1学时)  国教楼-A203  宁丽琴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 国教楼-A203  黄国顺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 国教楼-A203  朱玲艳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 国教楼-A203  李海啸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庄艺/宋亚芳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卢冬雪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(1学时)  国教楼-A203  宁丽琴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 国教楼-A203  黄国顺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 国教楼-A203  朱玲艳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 国教楼-A203  李海啸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庄艺/宋亚芳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卢冬雪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 国教楼-A203  宁丽琴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 国教楼-A203  黄国顺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 国教楼-A203  朱玲艳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 国教楼-A203  李海啸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卢冬雪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 国教楼-A203  宁丽琴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 国教楼-A203  黄国顺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 国教楼-A203  朱玲艳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 国教楼-A203  李海啸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杨继兵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