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郎君立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4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护理253;护理254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护理253;护理254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中医八251;中医儿科八25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中医八251;中医儿科八25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110033—013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形势与政策(三)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郎君立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