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6D42" w14:textId="77777777" w:rsidR="00940EFF" w:rsidRDefault="00940EFF" w:rsidP="00940EFF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1</w:t>
      </w:r>
    </w:p>
    <w:p w14:paraId="602533EF" w14:textId="23026B08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FE19A6">
        <w:rPr>
          <w:rFonts w:ascii="黑体" w:eastAsia="黑体" w:hAnsi="黑体" w:cs="宋体" w:hint="eastAsia"/>
          <w:kern w:val="0"/>
          <w:sz w:val="36"/>
          <w:szCs w:val="36"/>
        </w:rPr>
        <w:t>校级</w:t>
      </w:r>
      <w:r w:rsidR="002F26A9">
        <w:rPr>
          <w:rFonts w:ascii="黑体" w:eastAsia="黑体" w:hAnsi="黑体" w:cs="宋体" w:hint="eastAsia"/>
          <w:kern w:val="0"/>
          <w:sz w:val="36"/>
          <w:szCs w:val="36"/>
        </w:rPr>
        <w:t>说课</w:t>
      </w:r>
      <w:r w:rsidRPr="00FE19A6">
        <w:rPr>
          <w:rFonts w:ascii="黑体" w:eastAsia="黑体" w:hAnsi="黑体" w:cs="宋体" w:hint="eastAsia"/>
          <w:kern w:val="0"/>
          <w:sz w:val="36"/>
          <w:szCs w:val="36"/>
        </w:rPr>
        <w:t>名额</w:t>
      </w:r>
    </w:p>
    <w:tbl>
      <w:tblPr>
        <w:tblpPr w:leftFromText="180" w:rightFromText="180" w:vertAnchor="text" w:horzAnchor="margin" w:tblpXSpec="center" w:tblpY="425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850"/>
        <w:gridCol w:w="1389"/>
      </w:tblGrid>
      <w:tr w:rsidR="00940EFF" w14:paraId="2909DD02" w14:textId="77777777" w:rsidTr="00803681">
        <w:tc>
          <w:tcPr>
            <w:tcW w:w="957" w:type="dxa"/>
            <w:shd w:val="clear" w:color="auto" w:fill="auto"/>
            <w:vAlign w:val="center"/>
          </w:tcPr>
          <w:p w14:paraId="0E464DCD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3A2377E8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学院（单位）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BBCF3A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名额</w:t>
            </w:r>
          </w:p>
        </w:tc>
      </w:tr>
      <w:tr w:rsidR="00940EFF" w14:paraId="5BAC9B33" w14:textId="77777777" w:rsidTr="00803681">
        <w:tc>
          <w:tcPr>
            <w:tcW w:w="957" w:type="dxa"/>
            <w:shd w:val="clear" w:color="auto" w:fill="auto"/>
            <w:vAlign w:val="center"/>
          </w:tcPr>
          <w:p w14:paraId="7A704FCB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41B2162F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中医学院·中西医结合学院</w:t>
            </w:r>
          </w:p>
        </w:tc>
        <w:tc>
          <w:tcPr>
            <w:tcW w:w="1389" w:type="dxa"/>
            <w:shd w:val="clear" w:color="auto" w:fill="auto"/>
          </w:tcPr>
          <w:p w14:paraId="6809D13A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</w:tr>
      <w:tr w:rsidR="00940EFF" w14:paraId="57ED31B7" w14:textId="77777777" w:rsidTr="00803681">
        <w:tc>
          <w:tcPr>
            <w:tcW w:w="957" w:type="dxa"/>
            <w:shd w:val="clear" w:color="auto" w:fill="auto"/>
            <w:vAlign w:val="center"/>
          </w:tcPr>
          <w:p w14:paraId="07CADA68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0C298A52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第一临床医学院</w:t>
            </w:r>
          </w:p>
        </w:tc>
        <w:tc>
          <w:tcPr>
            <w:tcW w:w="1389" w:type="dxa"/>
            <w:shd w:val="clear" w:color="auto" w:fill="auto"/>
          </w:tcPr>
          <w:p w14:paraId="30AC2AA8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</w:tr>
      <w:tr w:rsidR="00940EFF" w14:paraId="549A90BC" w14:textId="77777777" w:rsidTr="00803681">
        <w:tc>
          <w:tcPr>
            <w:tcW w:w="957" w:type="dxa"/>
            <w:shd w:val="clear" w:color="auto" w:fill="auto"/>
            <w:vAlign w:val="center"/>
          </w:tcPr>
          <w:p w14:paraId="41992CA5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2C5296C0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药学院</w:t>
            </w:r>
          </w:p>
        </w:tc>
        <w:tc>
          <w:tcPr>
            <w:tcW w:w="1389" w:type="dxa"/>
            <w:shd w:val="clear" w:color="auto" w:fill="auto"/>
          </w:tcPr>
          <w:p w14:paraId="776E114C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</w:tr>
      <w:tr w:rsidR="00940EFF" w14:paraId="64C0018C" w14:textId="77777777" w:rsidTr="00803681">
        <w:tc>
          <w:tcPr>
            <w:tcW w:w="957" w:type="dxa"/>
            <w:shd w:val="clear" w:color="auto" w:fill="auto"/>
            <w:vAlign w:val="center"/>
          </w:tcPr>
          <w:p w14:paraId="48AF6D83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0D09260A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医学院·整合医学学院</w:t>
            </w:r>
          </w:p>
        </w:tc>
        <w:tc>
          <w:tcPr>
            <w:tcW w:w="1389" w:type="dxa"/>
            <w:shd w:val="clear" w:color="auto" w:fill="auto"/>
          </w:tcPr>
          <w:p w14:paraId="3305133E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</w:tr>
      <w:tr w:rsidR="00940EFF" w14:paraId="1381CB4A" w14:textId="77777777" w:rsidTr="00803681">
        <w:tc>
          <w:tcPr>
            <w:tcW w:w="957" w:type="dxa"/>
            <w:shd w:val="clear" w:color="auto" w:fill="auto"/>
            <w:vAlign w:val="center"/>
          </w:tcPr>
          <w:p w14:paraId="35083166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165BF238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针灸推拿学院·养生康复学院</w:t>
            </w:r>
          </w:p>
        </w:tc>
        <w:tc>
          <w:tcPr>
            <w:tcW w:w="1389" w:type="dxa"/>
            <w:shd w:val="clear" w:color="auto" w:fill="auto"/>
          </w:tcPr>
          <w:p w14:paraId="606811DA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</w:tr>
      <w:tr w:rsidR="00940EFF" w14:paraId="13398A24" w14:textId="77777777" w:rsidTr="00803681">
        <w:tc>
          <w:tcPr>
            <w:tcW w:w="957" w:type="dxa"/>
            <w:shd w:val="clear" w:color="auto" w:fill="auto"/>
            <w:vAlign w:val="center"/>
          </w:tcPr>
          <w:p w14:paraId="7560895B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13826019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护理学院</w:t>
            </w:r>
          </w:p>
        </w:tc>
        <w:tc>
          <w:tcPr>
            <w:tcW w:w="1389" w:type="dxa"/>
            <w:shd w:val="clear" w:color="auto" w:fill="auto"/>
          </w:tcPr>
          <w:p w14:paraId="0BAD5243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940EFF" w14:paraId="400B5BC4" w14:textId="77777777" w:rsidTr="00803681">
        <w:tc>
          <w:tcPr>
            <w:tcW w:w="957" w:type="dxa"/>
            <w:shd w:val="clear" w:color="auto" w:fill="auto"/>
            <w:vAlign w:val="center"/>
          </w:tcPr>
          <w:p w14:paraId="21754A97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2BBB4F95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卫生经济管理学院</w:t>
            </w:r>
          </w:p>
        </w:tc>
        <w:tc>
          <w:tcPr>
            <w:tcW w:w="1389" w:type="dxa"/>
            <w:shd w:val="clear" w:color="auto" w:fill="auto"/>
          </w:tcPr>
          <w:p w14:paraId="4BE8E0F8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940EFF" w14:paraId="09BA5A9A" w14:textId="77777777" w:rsidTr="00803681">
        <w:tc>
          <w:tcPr>
            <w:tcW w:w="957" w:type="dxa"/>
            <w:shd w:val="clear" w:color="auto" w:fill="auto"/>
            <w:vAlign w:val="center"/>
          </w:tcPr>
          <w:p w14:paraId="0ECC4799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4DE36072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人工智能与信息技术学院</w:t>
            </w:r>
          </w:p>
        </w:tc>
        <w:tc>
          <w:tcPr>
            <w:tcW w:w="1389" w:type="dxa"/>
            <w:shd w:val="clear" w:color="auto" w:fill="auto"/>
          </w:tcPr>
          <w:p w14:paraId="26F7C12B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940EFF" w14:paraId="210F6DC6" w14:textId="77777777" w:rsidTr="00803681">
        <w:tc>
          <w:tcPr>
            <w:tcW w:w="957" w:type="dxa"/>
            <w:shd w:val="clear" w:color="auto" w:fill="auto"/>
            <w:vAlign w:val="center"/>
          </w:tcPr>
          <w:p w14:paraId="4D328077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257729C0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马克思主义学院·医学人文学院</w:t>
            </w:r>
          </w:p>
        </w:tc>
        <w:tc>
          <w:tcPr>
            <w:tcW w:w="1389" w:type="dxa"/>
            <w:shd w:val="clear" w:color="auto" w:fill="auto"/>
          </w:tcPr>
          <w:p w14:paraId="67898064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940EFF" w14:paraId="544DF61C" w14:textId="77777777" w:rsidTr="00803681">
        <w:tc>
          <w:tcPr>
            <w:tcW w:w="957" w:type="dxa"/>
            <w:shd w:val="clear" w:color="auto" w:fill="auto"/>
            <w:vAlign w:val="center"/>
          </w:tcPr>
          <w:p w14:paraId="67F2F88E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907F9"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6F363F31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3907F9">
              <w:rPr>
                <w:rFonts w:ascii="仿宋" w:eastAsia="仿宋" w:hAnsi="仿宋" w:cs="宋体" w:hint="eastAsia"/>
                <w:sz w:val="32"/>
                <w:szCs w:val="32"/>
              </w:rPr>
              <w:t>文献所</w:t>
            </w:r>
          </w:p>
        </w:tc>
        <w:tc>
          <w:tcPr>
            <w:tcW w:w="1389" w:type="dxa"/>
            <w:shd w:val="clear" w:color="auto" w:fill="auto"/>
          </w:tcPr>
          <w:p w14:paraId="0F233251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907F9">
              <w:rPr>
                <w:rFonts w:ascii="仿宋" w:eastAsia="仿宋" w:hAnsi="仿宋" w:cs="宋体"/>
                <w:sz w:val="32"/>
                <w:szCs w:val="32"/>
              </w:rPr>
              <w:t>1</w:t>
            </w:r>
          </w:p>
        </w:tc>
      </w:tr>
      <w:tr w:rsidR="00940EFF" w14:paraId="5446D727" w14:textId="77777777" w:rsidTr="00803681">
        <w:tc>
          <w:tcPr>
            <w:tcW w:w="957" w:type="dxa"/>
            <w:shd w:val="clear" w:color="auto" w:fill="auto"/>
            <w:vAlign w:val="center"/>
          </w:tcPr>
          <w:p w14:paraId="4DE78236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14:paraId="457B3CFD" w14:textId="77777777" w:rsidR="00940EFF" w:rsidRPr="003907F9" w:rsidRDefault="00940EFF" w:rsidP="00803681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3907F9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389" w:type="dxa"/>
            <w:shd w:val="clear" w:color="auto" w:fill="auto"/>
          </w:tcPr>
          <w:p w14:paraId="23DF9AEA" w14:textId="77777777" w:rsidR="00940EFF" w:rsidRPr="003907F9" w:rsidRDefault="00940EFF" w:rsidP="0080368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907F9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7</w:t>
            </w:r>
          </w:p>
        </w:tc>
      </w:tr>
    </w:tbl>
    <w:p w14:paraId="3CB8CC55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1883B891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104C446E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58E9FAD0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2347E903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18C2DDB3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06BFEC0E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0BCF8844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33AB4E81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4DEF6E60" w14:textId="77777777" w:rsidR="00940EFF" w:rsidRDefault="00940EFF" w:rsidP="00940EFF">
      <w:pPr>
        <w:widowControl/>
        <w:spacing w:afterLines="50" w:after="156" w:line="680" w:lineRule="exact"/>
        <w:ind w:firstLineChars="300" w:firstLine="630"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9408D0">
        <w:rPr>
          <w:rFonts w:ascii="黑体" w:eastAsia="黑体" w:hAnsi="黑体" w:hint="eastAsia"/>
          <w:szCs w:val="21"/>
        </w:rPr>
        <w:t>注：</w:t>
      </w:r>
      <w:r>
        <w:rPr>
          <w:rFonts w:ascii="宋体" w:hAnsi="宋体" w:hint="eastAsia"/>
          <w:szCs w:val="21"/>
        </w:rPr>
        <w:t>校级教学展示</w:t>
      </w:r>
      <w:r w:rsidRPr="009408D0">
        <w:rPr>
          <w:rFonts w:ascii="宋体" w:hAnsi="宋体" w:hint="eastAsia"/>
          <w:szCs w:val="21"/>
        </w:rPr>
        <w:t>名额</w:t>
      </w:r>
      <w:r>
        <w:rPr>
          <w:rFonts w:ascii="宋体" w:hAnsi="宋体" w:hint="eastAsia"/>
          <w:szCs w:val="21"/>
        </w:rPr>
        <w:t>根据培训开班时</w:t>
      </w:r>
      <w:r w:rsidRPr="009408D0">
        <w:rPr>
          <w:rFonts w:ascii="宋体" w:hAnsi="宋体" w:hint="eastAsia"/>
          <w:szCs w:val="21"/>
        </w:rPr>
        <w:t>学院</w:t>
      </w:r>
      <w:r>
        <w:rPr>
          <w:rFonts w:ascii="宋体" w:hAnsi="宋体" w:hint="eastAsia"/>
          <w:szCs w:val="21"/>
        </w:rPr>
        <w:t>新</w:t>
      </w:r>
      <w:r w:rsidRPr="009408D0">
        <w:rPr>
          <w:rFonts w:ascii="宋体" w:hAnsi="宋体" w:hint="eastAsia"/>
          <w:szCs w:val="21"/>
        </w:rPr>
        <w:t>教师数和一流专业</w:t>
      </w:r>
      <w:r>
        <w:rPr>
          <w:rFonts w:ascii="宋体" w:hAnsi="宋体" w:hint="eastAsia"/>
          <w:szCs w:val="21"/>
        </w:rPr>
        <w:t>情况分配。</w:t>
      </w:r>
    </w:p>
    <w:p w14:paraId="756A2599" w14:textId="77777777" w:rsidR="00940EFF" w:rsidRDefault="00940EFF" w:rsidP="00940EFF">
      <w:pPr>
        <w:widowControl/>
        <w:spacing w:afterLines="50" w:after="156" w:line="6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14:paraId="04315ECA" w14:textId="77777777" w:rsidR="00940EFF" w:rsidRDefault="00940EFF" w:rsidP="00940EFF">
      <w:pPr>
        <w:widowControl/>
        <w:spacing w:afterLines="50" w:after="156" w:line="68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黑体" w:eastAsia="黑体" w:hAnsi="黑体" w:cs="宋体"/>
          <w:kern w:val="0"/>
          <w:sz w:val="36"/>
          <w:szCs w:val="36"/>
        </w:rPr>
        <w:br w:type="page"/>
      </w: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2</w:t>
      </w:r>
    </w:p>
    <w:p w14:paraId="750E16C3" w14:textId="77777777" w:rsidR="00940EFF" w:rsidRDefault="00940EFF" w:rsidP="00940EFF">
      <w:pPr>
        <w:widowControl/>
        <w:spacing w:before="240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36"/>
        </w:rPr>
        <w:t xml:space="preserve">      </w:t>
      </w:r>
      <w:r>
        <w:rPr>
          <w:rFonts w:ascii="黑体" w:eastAsia="黑体" w:hAnsi="黑体" w:hint="eastAsia"/>
          <w:sz w:val="36"/>
          <w:szCs w:val="44"/>
        </w:rPr>
        <w:t>教学设计评分细则</w:t>
      </w:r>
    </w:p>
    <w:tbl>
      <w:tblPr>
        <w:tblW w:w="885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6379"/>
        <w:gridCol w:w="1041"/>
      </w:tblGrid>
      <w:tr w:rsidR="00940EFF" w14:paraId="5977FC63" w14:textId="77777777" w:rsidTr="00803681">
        <w:trPr>
          <w:trHeight w:val="585"/>
        </w:trPr>
        <w:tc>
          <w:tcPr>
            <w:tcW w:w="1432" w:type="dxa"/>
            <w:shd w:val="clear" w:color="auto" w:fill="auto"/>
            <w:vAlign w:val="center"/>
          </w:tcPr>
          <w:p w14:paraId="388C3D90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评审指标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228790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评审标准</w:t>
            </w:r>
          </w:p>
        </w:tc>
        <w:tc>
          <w:tcPr>
            <w:tcW w:w="1041" w:type="dxa"/>
            <w:vAlign w:val="center"/>
          </w:tcPr>
          <w:p w14:paraId="02B79FBE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 w:rsidR="00940EFF" w14:paraId="4F1D0619" w14:textId="77777777" w:rsidTr="00803681">
        <w:trPr>
          <w:trHeight w:val="675"/>
        </w:trPr>
        <w:tc>
          <w:tcPr>
            <w:tcW w:w="1432" w:type="dxa"/>
            <w:shd w:val="clear" w:color="auto" w:fill="auto"/>
            <w:vAlign w:val="center"/>
          </w:tcPr>
          <w:p w14:paraId="6B1A3CEE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A05492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根据专业人才培养目标和课程性质，按照教学大纲要求的教学内容，能够从知识、技能、学习态度与价值观三方面设定教学目标，教学目标明确，教学目标与课程目标相一致。</w:t>
            </w:r>
          </w:p>
        </w:tc>
        <w:tc>
          <w:tcPr>
            <w:tcW w:w="1041" w:type="dxa"/>
            <w:vAlign w:val="center"/>
          </w:tcPr>
          <w:p w14:paraId="69D94445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940EFF" w14:paraId="205938A5" w14:textId="77777777" w:rsidTr="00803681">
        <w:trPr>
          <w:trHeight w:val="450"/>
        </w:trPr>
        <w:tc>
          <w:tcPr>
            <w:tcW w:w="1432" w:type="dxa"/>
            <w:shd w:val="clear" w:color="auto" w:fill="auto"/>
            <w:vAlign w:val="center"/>
          </w:tcPr>
          <w:p w14:paraId="277FD0AA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74CC97" w14:textId="77777777" w:rsidR="00940EFF" w:rsidRDefault="00940EFF" w:rsidP="0080368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教学重点明确，教学难点清晰，教学内容具有科学性、前沿性和拓展性，体现课程思政，教学信息量充足。</w:t>
            </w:r>
          </w:p>
        </w:tc>
        <w:tc>
          <w:tcPr>
            <w:tcW w:w="1041" w:type="dxa"/>
            <w:vAlign w:val="center"/>
          </w:tcPr>
          <w:p w14:paraId="34D9BDF5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940EFF" w14:paraId="6C64FA23" w14:textId="77777777" w:rsidTr="00803681">
        <w:trPr>
          <w:trHeight w:val="645"/>
        </w:trPr>
        <w:tc>
          <w:tcPr>
            <w:tcW w:w="1432" w:type="dxa"/>
            <w:shd w:val="clear" w:color="auto" w:fill="auto"/>
            <w:vAlign w:val="center"/>
          </w:tcPr>
          <w:p w14:paraId="19DEE736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情分析及教学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预测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58D138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根据学生的智力因素和非智力因素进行学情分析，准确把握学生的认知特征、情感态度和信息技术应用能力，正确做出教与学预测的方案。</w:t>
            </w:r>
          </w:p>
        </w:tc>
        <w:tc>
          <w:tcPr>
            <w:tcW w:w="1041" w:type="dxa"/>
            <w:vAlign w:val="center"/>
          </w:tcPr>
          <w:p w14:paraId="455F1993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940EFF" w14:paraId="29CFBC28" w14:textId="77777777" w:rsidTr="00803681">
        <w:trPr>
          <w:trHeight w:val="1020"/>
        </w:trPr>
        <w:tc>
          <w:tcPr>
            <w:tcW w:w="1432" w:type="dxa"/>
            <w:shd w:val="clear" w:color="auto" w:fill="auto"/>
            <w:vAlign w:val="center"/>
          </w:tcPr>
          <w:p w14:paraId="78DCF378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教学策略与方法选择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F752C04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坚持以学生为中心的思想理念，根据中医药学或相关学科特点、教学内容和学生学习特征进行教学策略选择；遵循学生的认知规律选择恰当的教学方式方法与手段；教学过程结构类型与所选择的教学方法配套，教学过程结构自然流畅,组织合理。</w:t>
            </w:r>
          </w:p>
        </w:tc>
        <w:tc>
          <w:tcPr>
            <w:tcW w:w="1041" w:type="dxa"/>
            <w:vAlign w:val="center"/>
          </w:tcPr>
          <w:p w14:paraId="5D26852B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940EFF" w14:paraId="184A621F" w14:textId="77777777" w:rsidTr="00803681">
        <w:trPr>
          <w:trHeight w:val="375"/>
        </w:trPr>
        <w:tc>
          <w:tcPr>
            <w:tcW w:w="1432" w:type="dxa"/>
            <w:shd w:val="clear" w:color="auto" w:fill="auto"/>
            <w:vAlign w:val="center"/>
          </w:tcPr>
          <w:p w14:paraId="217215D6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学习资源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BC7B46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根据教学内容选择学习资源，针对性强，材料丰富多样，有利于拓展学生自主学习空间。</w:t>
            </w:r>
          </w:p>
        </w:tc>
        <w:tc>
          <w:tcPr>
            <w:tcW w:w="1041" w:type="dxa"/>
            <w:vAlign w:val="center"/>
          </w:tcPr>
          <w:p w14:paraId="49D1FFAD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940EFF" w14:paraId="56256F1E" w14:textId="77777777" w:rsidTr="00803681">
        <w:trPr>
          <w:trHeight w:val="312"/>
        </w:trPr>
        <w:tc>
          <w:tcPr>
            <w:tcW w:w="1432" w:type="dxa"/>
            <w:shd w:val="clear" w:color="auto" w:fill="auto"/>
            <w:vAlign w:val="center"/>
          </w:tcPr>
          <w:p w14:paraId="78A303AB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课堂教学与媒体教学的结合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0D0B11B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课堂教学过程完整，层级有序，课堂教学与媒体教学有机结合，传统板书与现代板书相辅相成。</w:t>
            </w:r>
          </w:p>
        </w:tc>
        <w:tc>
          <w:tcPr>
            <w:tcW w:w="1041" w:type="dxa"/>
            <w:vAlign w:val="center"/>
          </w:tcPr>
          <w:p w14:paraId="01272790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940EFF" w14:paraId="57A53BAC" w14:textId="77777777" w:rsidTr="00803681">
        <w:trPr>
          <w:trHeight w:val="312"/>
        </w:trPr>
        <w:tc>
          <w:tcPr>
            <w:tcW w:w="1432" w:type="dxa"/>
            <w:shd w:val="clear" w:color="auto" w:fill="auto"/>
            <w:vAlign w:val="center"/>
          </w:tcPr>
          <w:p w14:paraId="7524A764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教学互动环节设计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36964D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根据课程目标开展形式多样的教学互动环节设计，师生互动和生生互动、课上和课下互动能够紧密联系教学内容。</w:t>
            </w:r>
          </w:p>
        </w:tc>
        <w:tc>
          <w:tcPr>
            <w:tcW w:w="1041" w:type="dxa"/>
            <w:vAlign w:val="center"/>
          </w:tcPr>
          <w:p w14:paraId="3B30BBE6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940EFF" w14:paraId="40B743A6" w14:textId="77777777" w:rsidTr="00803681">
        <w:trPr>
          <w:trHeight w:val="435"/>
        </w:trPr>
        <w:tc>
          <w:tcPr>
            <w:tcW w:w="1432" w:type="dxa"/>
            <w:shd w:val="clear" w:color="auto" w:fill="auto"/>
            <w:vAlign w:val="center"/>
          </w:tcPr>
          <w:p w14:paraId="78EF1C82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课外自主学习设计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8259E11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指导学生科学设计自主学习计划，能够为学生搭建课外学习平台，引导学生进行自主学习和自主评价。</w:t>
            </w:r>
          </w:p>
        </w:tc>
        <w:tc>
          <w:tcPr>
            <w:tcW w:w="1041" w:type="dxa"/>
            <w:vAlign w:val="center"/>
          </w:tcPr>
          <w:p w14:paraId="262DA8F3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940EFF" w14:paraId="2B5A747F" w14:textId="77777777" w:rsidTr="00803681">
        <w:trPr>
          <w:trHeight w:val="465"/>
        </w:trPr>
        <w:tc>
          <w:tcPr>
            <w:tcW w:w="1432" w:type="dxa"/>
            <w:shd w:val="clear" w:color="auto" w:fill="auto"/>
            <w:vAlign w:val="center"/>
          </w:tcPr>
          <w:p w14:paraId="51AB1B2F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教学测量与评价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3EB8C9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在课堂教学过程中积极开展形式多样的教学测量，实施自评、他评和互评。</w:t>
            </w:r>
          </w:p>
        </w:tc>
        <w:tc>
          <w:tcPr>
            <w:tcW w:w="1041" w:type="dxa"/>
            <w:vAlign w:val="center"/>
          </w:tcPr>
          <w:p w14:paraId="7D43C145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</w:tr>
      <w:tr w:rsidR="00940EFF" w14:paraId="2790248B" w14:textId="77777777" w:rsidTr="00803681">
        <w:trPr>
          <w:trHeight w:val="510"/>
        </w:trPr>
        <w:tc>
          <w:tcPr>
            <w:tcW w:w="1432" w:type="dxa"/>
            <w:shd w:val="clear" w:color="auto" w:fill="auto"/>
            <w:vAlign w:val="center"/>
          </w:tcPr>
          <w:p w14:paraId="4833EC80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教学反思与改进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B04C577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教学过程中坚持问题导向，积极反思教学内容和教学方式方法，并做到适时调整。</w:t>
            </w:r>
          </w:p>
        </w:tc>
        <w:tc>
          <w:tcPr>
            <w:tcW w:w="1041" w:type="dxa"/>
            <w:vAlign w:val="center"/>
          </w:tcPr>
          <w:p w14:paraId="51182D56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940EFF" w14:paraId="2A3B270F" w14:textId="77777777" w:rsidTr="00803681">
        <w:trPr>
          <w:trHeight w:val="570"/>
        </w:trPr>
        <w:tc>
          <w:tcPr>
            <w:tcW w:w="1432" w:type="dxa"/>
            <w:shd w:val="clear" w:color="auto" w:fill="auto"/>
            <w:vAlign w:val="center"/>
          </w:tcPr>
          <w:p w14:paraId="5FD6BC57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创新思维培养意识的体现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043942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在教学过程中设计培养学生创新思维的环节和内容。</w:t>
            </w:r>
          </w:p>
        </w:tc>
        <w:tc>
          <w:tcPr>
            <w:tcW w:w="1041" w:type="dxa"/>
            <w:vAlign w:val="center"/>
          </w:tcPr>
          <w:p w14:paraId="59158925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</w:tr>
      <w:tr w:rsidR="00940EFF" w14:paraId="78A09E9C" w14:textId="77777777" w:rsidTr="00803681">
        <w:trPr>
          <w:trHeight w:val="570"/>
        </w:trPr>
        <w:tc>
          <w:tcPr>
            <w:tcW w:w="1432" w:type="dxa"/>
            <w:shd w:val="clear" w:color="auto" w:fill="auto"/>
            <w:vAlign w:val="center"/>
          </w:tcPr>
          <w:p w14:paraId="3A564364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641E1C" w14:textId="77777777" w:rsidR="00940EFF" w:rsidRDefault="00940EFF" w:rsidP="00803681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0DE3D64A" w14:textId="77777777" w:rsidR="00940EFF" w:rsidRDefault="00940EFF" w:rsidP="008036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940EFF" w14:paraId="2337B17E" w14:textId="77777777" w:rsidTr="00803681">
        <w:trPr>
          <w:trHeight w:val="658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14:paraId="44F1BCAF" w14:textId="77777777" w:rsidR="00940EFF" w:rsidRDefault="00940EFF" w:rsidP="008036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减分项目</w:t>
            </w:r>
          </w:p>
        </w:tc>
        <w:tc>
          <w:tcPr>
            <w:tcW w:w="7420" w:type="dxa"/>
            <w:gridSpan w:val="2"/>
            <w:vAlign w:val="center"/>
          </w:tcPr>
          <w:p w14:paraId="08E062B7" w14:textId="2ED0D4F8" w:rsidR="00940EFF" w:rsidRDefault="00940EFF" w:rsidP="00803681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未提交完整章</w:t>
            </w:r>
            <w:r w:rsidR="002F26A9">
              <w:rPr>
                <w:rFonts w:ascii="黑体" w:eastAsia="黑体" w:hAnsi="黑体" w:hint="eastAsia"/>
                <w:b/>
                <w:bCs/>
                <w:color w:val="000000"/>
              </w:rPr>
              <w:t>节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（病证）教学设计，由评审组长从该环节平均分中扣1</w:t>
            </w:r>
            <w:r>
              <w:rPr>
                <w:rFonts w:ascii="黑体" w:eastAsia="黑体" w:hAnsi="黑体"/>
                <w:b/>
                <w:bCs/>
                <w:color w:val="000000"/>
              </w:rPr>
              <w:t>0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分。</w:t>
            </w:r>
          </w:p>
        </w:tc>
      </w:tr>
      <w:tr w:rsidR="00940EFF" w14:paraId="5BCADE79" w14:textId="77777777" w:rsidTr="00803681">
        <w:trPr>
          <w:trHeight w:val="544"/>
        </w:trPr>
        <w:tc>
          <w:tcPr>
            <w:tcW w:w="1432" w:type="dxa"/>
            <w:vMerge/>
            <w:vAlign w:val="center"/>
          </w:tcPr>
          <w:p w14:paraId="2AA0EC4B" w14:textId="77777777" w:rsidR="00940EFF" w:rsidRDefault="00940EFF" w:rsidP="008036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20" w:type="dxa"/>
            <w:gridSpan w:val="2"/>
            <w:vAlign w:val="center"/>
          </w:tcPr>
          <w:p w14:paraId="7A95B197" w14:textId="77777777" w:rsidR="00940EFF" w:rsidRDefault="00940EFF" w:rsidP="00803681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选手在比赛过程中泄露个人信息，由评审组长从该环节平均分中扣除30分。</w:t>
            </w:r>
          </w:p>
        </w:tc>
      </w:tr>
      <w:tr w:rsidR="00940EFF" w14:paraId="55C1D99B" w14:textId="77777777" w:rsidTr="00803681">
        <w:trPr>
          <w:trHeight w:val="855"/>
        </w:trPr>
        <w:tc>
          <w:tcPr>
            <w:tcW w:w="1432" w:type="dxa"/>
            <w:vMerge/>
            <w:vAlign w:val="center"/>
          </w:tcPr>
          <w:p w14:paraId="10C5A219" w14:textId="77777777" w:rsidR="00940EFF" w:rsidRDefault="00940EFF" w:rsidP="008036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20" w:type="dxa"/>
            <w:gridSpan w:val="2"/>
            <w:vAlign w:val="center"/>
          </w:tcPr>
          <w:p w14:paraId="08E86045" w14:textId="77777777" w:rsidR="00940EFF" w:rsidRDefault="00940EFF" w:rsidP="00803681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提交的教学设计与现场教学展示章节不符，由评审组长从该环节平均分中扣1</w:t>
            </w:r>
            <w:r>
              <w:rPr>
                <w:rFonts w:ascii="黑体" w:eastAsia="黑体" w:hAnsi="黑体"/>
                <w:b/>
                <w:bCs/>
                <w:color w:val="000000"/>
              </w:rPr>
              <w:t>0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分。</w:t>
            </w:r>
          </w:p>
        </w:tc>
      </w:tr>
    </w:tbl>
    <w:p w14:paraId="08C60566" w14:textId="77777777" w:rsidR="00940EFF" w:rsidRDefault="00940EFF" w:rsidP="00940EFF">
      <w:pPr>
        <w:pageBreakBefore/>
        <w:rPr>
          <w:rFonts w:ascii="仿宋_GB2312" w:eastAsia="仿宋_GB2312" w:hAnsi="仿宋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例</w:t>
      </w:r>
    </w:p>
    <w:p w14:paraId="2FC9D7B9" w14:textId="77777777" w:rsidR="00940EFF" w:rsidRDefault="00940EFF" w:rsidP="00940EFF">
      <w:pPr>
        <w:jc w:val="right"/>
        <w:rPr>
          <w:rFonts w:ascii="仿宋" w:eastAsia="仿宋" w:hAnsi="仿宋"/>
          <w:b/>
          <w:bCs/>
          <w:sz w:val="30"/>
          <w:szCs w:val="30"/>
        </w:rPr>
      </w:pPr>
    </w:p>
    <w:p w14:paraId="6D659A7D" w14:textId="77777777" w:rsidR="00940EFF" w:rsidRDefault="00940EFF" w:rsidP="00940EFF"/>
    <w:p w14:paraId="6DE495C8" w14:textId="77777777" w:rsidR="00940EFF" w:rsidRDefault="00940EFF" w:rsidP="00940EFF">
      <w:pPr>
        <w:ind w:leftChars="1012" w:left="2125" w:right="640"/>
        <w:jc w:val="right"/>
        <w:rPr>
          <w:rFonts w:ascii="黑体" w:eastAsia="黑体" w:hAnsi="黑体"/>
          <w:sz w:val="32"/>
          <w:szCs w:val="32"/>
        </w:rPr>
      </w:pPr>
    </w:p>
    <w:p w14:paraId="75531AE8" w14:textId="77777777" w:rsidR="00940EFF" w:rsidRDefault="00940EFF" w:rsidP="00940EFF"/>
    <w:p w14:paraId="103C1CDD" w14:textId="77777777" w:rsidR="00940EFF" w:rsidRDefault="00940EFF" w:rsidP="00940EFF"/>
    <w:p w14:paraId="6D2BF105" w14:textId="77777777" w:rsidR="00940EFF" w:rsidRDefault="00940EFF" w:rsidP="00940EFF"/>
    <w:p w14:paraId="49CA497F" w14:textId="77777777" w:rsidR="00940EFF" w:rsidRDefault="00940EFF" w:rsidP="00940EFF"/>
    <w:p w14:paraId="70727090" w14:textId="77777777" w:rsidR="00940EFF" w:rsidRDefault="00940EFF" w:rsidP="00940EFF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教学设计</w:t>
      </w:r>
    </w:p>
    <w:p w14:paraId="715545F0" w14:textId="77777777" w:rsidR="00940EFF" w:rsidRDefault="00940EFF" w:rsidP="00940EF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（完整版）</w:t>
      </w:r>
    </w:p>
    <w:p w14:paraId="6F68EB51" w14:textId="77777777" w:rsidR="00940EFF" w:rsidRDefault="00940EFF" w:rsidP="00940EFF"/>
    <w:p w14:paraId="27186841" w14:textId="77777777" w:rsidR="00940EFF" w:rsidRDefault="00940EFF" w:rsidP="00940EFF"/>
    <w:p w14:paraId="6E6459C1" w14:textId="77777777" w:rsidR="00940EFF" w:rsidRDefault="00940EFF" w:rsidP="00940EFF"/>
    <w:p w14:paraId="1AD440A5" w14:textId="77777777" w:rsidR="00940EFF" w:rsidRDefault="00940EFF" w:rsidP="00940EFF"/>
    <w:p w14:paraId="5BC0B369" w14:textId="77777777" w:rsidR="00940EFF" w:rsidRDefault="00940EFF" w:rsidP="00940EFF"/>
    <w:p w14:paraId="0AAFA933" w14:textId="77777777" w:rsidR="00940EFF" w:rsidRDefault="00940EFF" w:rsidP="00940EFF">
      <w:pPr>
        <w:ind w:leftChars="1012" w:left="21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讲授课程：推拿学</w:t>
      </w:r>
    </w:p>
    <w:p w14:paraId="0FFACC24" w14:textId="77777777" w:rsidR="00940EFF" w:rsidRDefault="00940EFF" w:rsidP="00940EFF">
      <w:pPr>
        <w:ind w:leftChars="1012" w:left="21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课程类别</w:t>
      </w:r>
      <w:r>
        <w:rPr>
          <w:rFonts w:ascii="黑体" w:eastAsia="黑体" w:hAnsi="黑体" w:hint="eastAsia"/>
          <w:sz w:val="32"/>
          <w:szCs w:val="32"/>
        </w:rPr>
        <w:t>：限选课</w:t>
      </w:r>
    </w:p>
    <w:p w14:paraId="237646EA" w14:textId="77777777" w:rsidR="00940EFF" w:rsidRDefault="00940EFF" w:rsidP="00940EFF">
      <w:pPr>
        <w:ind w:leftChars="1012" w:left="21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学时学分</w:t>
      </w:r>
      <w:r>
        <w:rPr>
          <w:rFonts w:ascii="黑体" w:eastAsia="黑体" w:hAnsi="黑体" w:hint="eastAsia"/>
          <w:sz w:val="32"/>
          <w:szCs w:val="32"/>
        </w:rPr>
        <w:t>：5</w:t>
      </w:r>
      <w:r>
        <w:rPr>
          <w:rFonts w:ascii="黑体" w:eastAsia="黑体" w:hAnsi="黑体"/>
          <w:sz w:val="32"/>
          <w:szCs w:val="32"/>
        </w:rPr>
        <w:t>4学时</w:t>
      </w:r>
      <w:r>
        <w:rPr>
          <w:rFonts w:ascii="黑体" w:eastAsia="黑体" w:hAnsi="黑体" w:hint="eastAsia"/>
          <w:sz w:val="32"/>
          <w:szCs w:val="32"/>
        </w:rPr>
        <w:t>3学分</w:t>
      </w:r>
    </w:p>
    <w:p w14:paraId="0B8B3D94" w14:textId="77777777" w:rsidR="00940EFF" w:rsidRDefault="00940EFF" w:rsidP="00940EFF">
      <w:pPr>
        <w:ind w:leftChars="1012" w:left="21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适用专业：中医学</w:t>
      </w:r>
    </w:p>
    <w:p w14:paraId="77C5FD93" w14:textId="77777777" w:rsidR="00940EFF" w:rsidRDefault="00940EFF" w:rsidP="00940EFF">
      <w:pPr>
        <w:ind w:leftChars="1012" w:left="2125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2"/>
          <w:szCs w:val="32"/>
        </w:rPr>
        <w:t>讲授章节：伤科疾病</w:t>
      </w:r>
    </w:p>
    <w:p w14:paraId="019DF40E" w14:textId="77777777" w:rsidR="00940EFF" w:rsidRPr="00EF170C" w:rsidRDefault="00940EFF" w:rsidP="00940EFF">
      <w:pPr>
        <w:widowControl/>
        <w:spacing w:afterLines="50" w:after="156" w:line="680" w:lineRule="exact"/>
        <w:jc w:val="left"/>
        <w:rPr>
          <w:rFonts w:ascii="黑体" w:eastAsia="黑体" w:hAnsi="黑体" w:cs="宋体"/>
          <w:kern w:val="0"/>
          <w:sz w:val="36"/>
          <w:szCs w:val="36"/>
        </w:rPr>
      </w:pPr>
    </w:p>
    <w:p w14:paraId="23E8BDAA" w14:textId="49177BE6" w:rsidR="00E41D46" w:rsidRDefault="00E41D46" w:rsidP="00E41D46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</w:t>
      </w:r>
      <w:r w:rsidR="00DB0963">
        <w:rPr>
          <w:rFonts w:ascii="仿宋" w:eastAsia="仿宋" w:hAnsi="仿宋" w:cs="仿宋"/>
          <w:b/>
          <w:bCs/>
          <w:sz w:val="30"/>
          <w:szCs w:val="30"/>
        </w:rPr>
        <w:t>3</w:t>
      </w:r>
    </w:p>
    <w:p w14:paraId="4BEDB6C4" w14:textId="31FE0FA3" w:rsidR="00E41D46" w:rsidRPr="00E41D46" w:rsidRDefault="00E41D46" w:rsidP="00E41D46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E41D46">
        <w:rPr>
          <w:rFonts w:ascii="黑体" w:eastAsia="黑体" w:hAnsi="黑体" w:cs="宋体" w:hint="eastAsia"/>
          <w:kern w:val="0"/>
          <w:sz w:val="36"/>
          <w:szCs w:val="36"/>
        </w:rPr>
        <w:t>说课评分细则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5681"/>
        <w:gridCol w:w="1276"/>
      </w:tblGrid>
      <w:tr w:rsidR="00E41D46" w14:paraId="76F2AAB9" w14:textId="77777777" w:rsidTr="0083478E">
        <w:trPr>
          <w:trHeight w:val="614"/>
          <w:jc w:val="center"/>
        </w:trPr>
        <w:tc>
          <w:tcPr>
            <w:tcW w:w="1995" w:type="dxa"/>
            <w:shd w:val="clear" w:color="auto" w:fill="auto"/>
            <w:vAlign w:val="center"/>
          </w:tcPr>
          <w:p w14:paraId="44F9F97C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FF0000"/>
                <w:sz w:val="30"/>
                <w:szCs w:val="30"/>
                <w:lang w:val="zh-CN"/>
              </w:rPr>
              <w:br w:type="page"/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评审指标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44E4DD4B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评审标准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A5885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 w:rsidR="00E41D46" w14:paraId="22267ACC" w14:textId="77777777" w:rsidTr="0083478E">
        <w:trPr>
          <w:trHeight w:val="312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3BFA1E5E" w14:textId="5EE20BC0" w:rsidR="00681951" w:rsidRDefault="00681951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课程认知与</w:t>
            </w:r>
          </w:p>
          <w:p w14:paraId="568C7530" w14:textId="0101C548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  <w:p w14:paraId="6578A78C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60C0A263" w14:textId="05D88DA1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对所选的课程教学内容在教学中的地位和作用分析正确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2ABD2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41D46" w14:paraId="1CE7783E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39419FFA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25A318AE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教学目标（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思政目标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、知识目标、能力目标等）完整、具体、明确，符合大纲要求及人才培养要求。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6A366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71FA4DD6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76FCA37C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5518B864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教学重点、难点把握准确，分析透彻，安排得当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6C758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550B0144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2A8906E6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65DA7EA4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所选教学内容能够结合专业目标，反映学科前沿、社会热点、最新科研成果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958A9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41D46" w14:paraId="02550792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223C7E8C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05CF8978" w14:textId="4B5E4DD2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将</w:t>
            </w:r>
            <w:r w:rsidR="0013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课程思政、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价值导向、情感熏陶与知识传授相融合，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传播正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97473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E41D46" w14:paraId="3790BB36" w14:textId="77777777" w:rsidTr="0083478E">
        <w:trPr>
          <w:trHeight w:val="312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60A363B7" w14:textId="20E9B5F8" w:rsidR="00681951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学情分析</w:t>
            </w:r>
            <w:r w:rsidR="006819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与</w:t>
            </w:r>
          </w:p>
          <w:p w14:paraId="52726DF5" w14:textId="6D8D4020" w:rsidR="00681951" w:rsidRDefault="00681951" w:rsidP="0083478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教学对策</w:t>
            </w:r>
          </w:p>
          <w:p w14:paraId="696E20F7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40F39B3E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准确分析学生已有的知识基础、心理特点等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7687F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529428AB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466ACFBF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0AB0B705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准确分析学生现有的价值观、专业思想状况等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9EC1F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30D11027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18E905EF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3E95652F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采取的教学对策有助于学生明确学习目标和责任担当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7A13B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35FE237F" w14:textId="77777777" w:rsidTr="0083478E">
        <w:trPr>
          <w:trHeight w:val="312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5F657917" w14:textId="52D19A52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教学方法</w:t>
            </w:r>
            <w:r w:rsidR="006819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与</w:t>
            </w:r>
          </w:p>
          <w:p w14:paraId="4E1A0BD0" w14:textId="445E359B" w:rsidR="00681951" w:rsidRDefault="00681951" w:rsidP="0083478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学习指导</w:t>
            </w:r>
          </w:p>
          <w:p w14:paraId="52E347CA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7445E174" w14:textId="4F6009F5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采用多种教学方式，将</w:t>
            </w:r>
            <w:r w:rsidR="0013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元素融入教学中，符合学生认知规律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70D83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36BA1CFB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71A48EDC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510971F3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合理运用现代教育技术手段，课件布局合理、美观大方，有利于实现教学目标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563FF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3860929C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1CF6A007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3C65F406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根据学生情况因材施教，有针对性进行分类教学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F6EF6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150D21B8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6BE529D6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5182D54D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对学生进行学法指导，注重培养学生解决复杂问题的能力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DCDCE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7E8E5317" w14:textId="77777777" w:rsidTr="0083478E">
        <w:trPr>
          <w:trHeight w:val="312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33D34711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教学过程</w:t>
            </w:r>
          </w:p>
          <w:p w14:paraId="4B5A2BFF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（35分）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5D56A0CA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课程导入自然、流畅，方式得当、有新意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34657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5E5C2CE2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3516913E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3DCEC2FA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精讲精练，体现以学生为主体的教育理念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AC74A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50E1ECAC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1132D37D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65E81FC6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教学结构严谨，详略得当，层次清楚，逻辑性，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强重点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突出，难点突破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7E612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6AE7AFCD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06415BCE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146B8EBC" w14:textId="4E4F0502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</w:t>
            </w:r>
            <w:r w:rsidR="00130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教学创新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”元素切入自然、贴切，形成课程亮点和特色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F6BCE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616F5CD9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55502FF3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004C6D73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运用媒体得当，合理有效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oftHyphen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F8509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1EC8458F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0849C9FB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11D66360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注重学生综合素质的培养，完成教学目标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F0E66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37FD1204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04214503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0B613133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教学设计合理有特色，富有创意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93258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61CD8922" w14:textId="77777777" w:rsidTr="0083478E">
        <w:trPr>
          <w:trHeight w:val="312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02A8F833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教师素养</w:t>
            </w:r>
          </w:p>
          <w:p w14:paraId="274680B7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56C4AB32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语言生动简练，表达流畅；语速适中，语音标准；时间把握准确；逻辑性强，思路清晰；有亲合力、感染力。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88F47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2E118A9E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2512BE3C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5B18D851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仪态自然大方，形情镇定自若，衣冠端庄，形象好。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F7111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41D46" w14:paraId="2C42D246" w14:textId="77777777" w:rsidTr="0083478E">
        <w:trPr>
          <w:trHeight w:val="312"/>
          <w:jc w:val="center"/>
        </w:trPr>
        <w:tc>
          <w:tcPr>
            <w:tcW w:w="1995" w:type="dxa"/>
            <w:shd w:val="clear" w:color="auto" w:fill="auto"/>
            <w:vAlign w:val="center"/>
          </w:tcPr>
          <w:p w14:paraId="71FFA962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78121A92" w14:textId="77777777" w:rsidR="00E41D46" w:rsidRDefault="00E41D46" w:rsidP="0083478E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24A8C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E41D46" w14:paraId="0972EFB8" w14:textId="77777777" w:rsidTr="0083478E">
        <w:trPr>
          <w:trHeight w:val="312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1A89931C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减分项目</w:t>
            </w:r>
          </w:p>
        </w:tc>
        <w:tc>
          <w:tcPr>
            <w:tcW w:w="6957" w:type="dxa"/>
            <w:gridSpan w:val="2"/>
            <w:shd w:val="clear" w:color="auto" w:fill="auto"/>
            <w:vAlign w:val="center"/>
          </w:tcPr>
          <w:p w14:paraId="2ADD5E2F" w14:textId="77777777" w:rsidR="00E41D46" w:rsidRDefault="00E41D46" w:rsidP="0083478E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选手在比赛过程中泄露个人信息，由评审组长从该环节平均分中扣除30分。</w:t>
            </w:r>
          </w:p>
        </w:tc>
      </w:tr>
      <w:tr w:rsidR="00E41D46" w14:paraId="2E12C11B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7CD2FACA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57" w:type="dxa"/>
            <w:gridSpan w:val="2"/>
            <w:shd w:val="clear" w:color="auto" w:fill="auto"/>
            <w:vAlign w:val="center"/>
          </w:tcPr>
          <w:p w14:paraId="44EC0899" w14:textId="759EB640" w:rsidR="00E41D46" w:rsidRDefault="00E41D46" w:rsidP="0083478E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未在规定时间内完成说课内容或说课时间不足1</w:t>
            </w:r>
            <w:r>
              <w:rPr>
                <w:rFonts w:ascii="黑体" w:eastAsia="黑体" w:hAnsi="黑体"/>
                <w:b/>
                <w:bCs/>
                <w:color w:val="000000"/>
              </w:rPr>
              <w:t>2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分钟，由评审组长从该环节平均分中扣除20分。</w:t>
            </w:r>
          </w:p>
        </w:tc>
      </w:tr>
      <w:tr w:rsidR="00E41D46" w14:paraId="05F4F891" w14:textId="77777777" w:rsidTr="0083478E">
        <w:trPr>
          <w:trHeight w:val="312"/>
          <w:jc w:val="center"/>
        </w:trPr>
        <w:tc>
          <w:tcPr>
            <w:tcW w:w="1995" w:type="dxa"/>
            <w:vMerge/>
            <w:shd w:val="clear" w:color="auto" w:fill="auto"/>
            <w:vAlign w:val="center"/>
          </w:tcPr>
          <w:p w14:paraId="2086F563" w14:textId="77777777" w:rsidR="00E41D46" w:rsidRDefault="00E41D46" w:rsidP="008347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57" w:type="dxa"/>
            <w:gridSpan w:val="2"/>
            <w:shd w:val="clear" w:color="auto" w:fill="auto"/>
            <w:vAlign w:val="center"/>
          </w:tcPr>
          <w:p w14:paraId="7480A2DD" w14:textId="77777777" w:rsidR="00E41D46" w:rsidRDefault="00E41D46" w:rsidP="0083478E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选手未按规定时间到达比赛场地，由评审组长从该环节平均分中扣除10分。</w:t>
            </w:r>
          </w:p>
        </w:tc>
      </w:tr>
    </w:tbl>
    <w:p w14:paraId="23A8761C" w14:textId="31E803B9" w:rsidR="00940EFF" w:rsidRDefault="00940EFF" w:rsidP="00940EFF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</w:t>
      </w:r>
      <w:r w:rsidR="00E41D46">
        <w:rPr>
          <w:rFonts w:ascii="仿宋" w:eastAsia="仿宋" w:hAnsi="仿宋" w:cs="仿宋"/>
          <w:b/>
          <w:bCs/>
          <w:sz w:val="30"/>
          <w:szCs w:val="30"/>
        </w:rPr>
        <w:t>5</w:t>
      </w:r>
    </w:p>
    <w:p w14:paraId="10C7CC6B" w14:textId="77777777" w:rsidR="00940EFF" w:rsidRPr="00CA3524" w:rsidRDefault="00940EFF" w:rsidP="00940EFF">
      <w:pPr>
        <w:widowControl/>
        <w:spacing w:beforeLines="200" w:before="624" w:afterLines="50" w:after="156" w:line="480" w:lineRule="exact"/>
        <w:ind w:firstLine="561"/>
        <w:jc w:val="center"/>
        <w:rPr>
          <w:rFonts w:ascii="仿宋_GB2312" w:eastAsia="仿宋_GB2312" w:hAnsi="宋体"/>
          <w:sz w:val="24"/>
        </w:rPr>
      </w:pPr>
      <w:r w:rsidRPr="007871BD">
        <w:rPr>
          <w:rFonts w:ascii="黑体" w:eastAsia="黑体" w:hAnsi="黑体" w:cs="宋体" w:hint="eastAsia"/>
          <w:kern w:val="0"/>
          <w:sz w:val="36"/>
          <w:szCs w:val="36"/>
        </w:rPr>
        <w:t>新进教师校级教学工作坊回执</w:t>
      </w:r>
    </w:p>
    <w:tbl>
      <w:tblPr>
        <w:tblpPr w:leftFromText="180" w:rightFromText="180" w:vertAnchor="text" w:horzAnchor="page" w:tblpX="1675" w:tblpY="580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1655"/>
        <w:gridCol w:w="1695"/>
        <w:gridCol w:w="2010"/>
        <w:gridCol w:w="1380"/>
        <w:gridCol w:w="1890"/>
      </w:tblGrid>
      <w:tr w:rsidR="00940EFF" w:rsidRPr="00CA3524" w14:paraId="607E480D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5BF9E558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55" w:type="dxa"/>
            <w:vAlign w:val="center"/>
          </w:tcPr>
          <w:p w14:paraId="1CE05991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695" w:type="dxa"/>
            <w:vAlign w:val="center"/>
          </w:tcPr>
          <w:p w14:paraId="65D8E3BE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10" w:type="dxa"/>
            <w:vAlign w:val="center"/>
          </w:tcPr>
          <w:p w14:paraId="4CA5E895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b/>
                <w:sz w:val="28"/>
                <w:szCs w:val="28"/>
              </w:rPr>
              <w:t>教研室</w:t>
            </w:r>
          </w:p>
        </w:tc>
        <w:tc>
          <w:tcPr>
            <w:tcW w:w="1380" w:type="dxa"/>
            <w:vAlign w:val="center"/>
          </w:tcPr>
          <w:p w14:paraId="13D87FF0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90" w:type="dxa"/>
            <w:vAlign w:val="center"/>
          </w:tcPr>
          <w:p w14:paraId="73B0CB90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手机号</w:t>
            </w:r>
          </w:p>
        </w:tc>
      </w:tr>
      <w:tr w:rsidR="00940EFF" w:rsidRPr="00CA3524" w14:paraId="3FDDEA4F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679EF48F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 w14:paraId="581909FC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3A0E1EF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E088269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77FE844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0FE1E51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0EFF" w:rsidRPr="00CA3524" w14:paraId="26074CC2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3F72AD38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 w14:paraId="2D6C12FD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6213EFD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47A49E6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271DC2A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5180868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0EFF" w:rsidRPr="00CA3524" w14:paraId="397593B0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01187331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 w14:paraId="2207C192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E99BC4F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AD9DF82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63602DEB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7BCE6E97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0EFF" w:rsidRPr="00CA3524" w14:paraId="1A5CFC25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6EAF9217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 w14:paraId="60845D50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0FCA1B3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6D42F7D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152E91A0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69557FB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0EFF" w:rsidRPr="00CA3524" w14:paraId="1DE21BB9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7C41E79C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655" w:type="dxa"/>
            <w:vAlign w:val="center"/>
          </w:tcPr>
          <w:p w14:paraId="075F5984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6FF9CA95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CDDA7B8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E7825C5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24DCDEF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0EFF" w:rsidRPr="00CA3524" w14:paraId="1100F681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064E5024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655" w:type="dxa"/>
            <w:vAlign w:val="center"/>
          </w:tcPr>
          <w:p w14:paraId="056536F2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6F9886E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DF3A55F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71C1D4F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C9D1379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0EFF" w:rsidRPr="00CA3524" w14:paraId="341A62EB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6CFD7BC4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655" w:type="dxa"/>
            <w:vAlign w:val="center"/>
          </w:tcPr>
          <w:p w14:paraId="5382044A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DEB6EEA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C0ACD4B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15727843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637C56CA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940EFF" w:rsidRPr="00CA3524" w14:paraId="4FA6979B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73519B8C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655" w:type="dxa"/>
            <w:vAlign w:val="center"/>
          </w:tcPr>
          <w:p w14:paraId="1CC94352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0286532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8BF2925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89A658E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1636CEC2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0EFF" w:rsidRPr="00CA3524" w14:paraId="592E16E2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4512F8D0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655" w:type="dxa"/>
            <w:vAlign w:val="center"/>
          </w:tcPr>
          <w:p w14:paraId="03E025CC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916BB9B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8280181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1CE5D53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64DEFA1D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0EFF" w:rsidRPr="00CA3524" w14:paraId="741270B4" w14:textId="77777777" w:rsidTr="00803681">
        <w:trPr>
          <w:trHeight w:hRule="exact" w:val="851"/>
        </w:trPr>
        <w:tc>
          <w:tcPr>
            <w:tcW w:w="940" w:type="dxa"/>
            <w:vAlign w:val="center"/>
          </w:tcPr>
          <w:p w14:paraId="5830BF9B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3524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655" w:type="dxa"/>
            <w:vAlign w:val="center"/>
          </w:tcPr>
          <w:p w14:paraId="61337F8A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0FB0AFFF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85C7B78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EF9560D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1E67180D" w14:textId="77777777" w:rsidR="00940EFF" w:rsidRPr="00CA3524" w:rsidRDefault="00940EFF" w:rsidP="0080368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027A9C43" w14:textId="77777777" w:rsidR="00940EFF" w:rsidRPr="00CA3524" w:rsidRDefault="00940EFF" w:rsidP="00940EFF">
      <w:pPr>
        <w:spacing w:line="480" w:lineRule="exact"/>
      </w:pPr>
    </w:p>
    <w:p w14:paraId="34C954FD" w14:textId="77777777" w:rsidR="00940EFF" w:rsidRPr="00054F03" w:rsidRDefault="00940EFF" w:rsidP="00940EFF">
      <w:pPr>
        <w:spacing w:line="480" w:lineRule="exact"/>
        <w:rPr>
          <w:color w:val="FF0000"/>
        </w:rPr>
      </w:pPr>
    </w:p>
    <w:p w14:paraId="2ACE2C8E" w14:textId="77777777" w:rsidR="00940EFF" w:rsidRPr="007871BD" w:rsidRDefault="00940EFF" w:rsidP="00940EFF">
      <w:pPr>
        <w:spacing w:line="480" w:lineRule="exact"/>
        <w:ind w:firstLineChars="200" w:firstLine="420"/>
      </w:pPr>
      <w:r w:rsidRPr="007871BD">
        <w:rPr>
          <w:rFonts w:hint="eastAsia"/>
        </w:rPr>
        <w:t>注：本回执请于</w:t>
      </w:r>
      <w:r w:rsidRPr="007871BD">
        <w:rPr>
          <w:rFonts w:hint="eastAsia"/>
        </w:rPr>
        <w:t>2</w:t>
      </w:r>
      <w:r w:rsidRPr="007871BD">
        <w:t>021</w:t>
      </w:r>
      <w:r w:rsidRPr="007871BD">
        <w:rPr>
          <w:rFonts w:hint="eastAsia"/>
        </w:rPr>
        <w:t>年</w:t>
      </w:r>
      <w:r w:rsidRPr="007871BD">
        <w:t>5</w:t>
      </w:r>
      <w:r w:rsidRPr="007871BD">
        <w:rPr>
          <w:rFonts w:hint="eastAsia"/>
        </w:rPr>
        <w:t>月</w:t>
      </w:r>
      <w:r>
        <w:t>31</w:t>
      </w:r>
      <w:r w:rsidRPr="007871BD">
        <w:rPr>
          <w:rFonts w:hint="eastAsia"/>
        </w:rPr>
        <w:t>日</w:t>
      </w:r>
      <w:r>
        <w:t>14</w:t>
      </w:r>
      <w:r w:rsidRPr="007871BD">
        <w:rPr>
          <w:rFonts w:hint="eastAsia"/>
        </w:rPr>
        <w:t>：</w:t>
      </w:r>
      <w:r w:rsidRPr="007871BD">
        <w:t>00</w:t>
      </w:r>
      <w:r w:rsidRPr="007871BD">
        <w:rPr>
          <w:rFonts w:hint="eastAsia"/>
        </w:rPr>
        <w:t>前发送至指定电子邮箱。</w:t>
      </w:r>
    </w:p>
    <w:p w14:paraId="22384131" w14:textId="77777777" w:rsidR="00940EFF" w:rsidRPr="00940EFF" w:rsidRDefault="00940EFF"/>
    <w:sectPr w:rsidR="00940EFF" w:rsidRPr="00940EFF">
      <w:footerReference w:type="default" r:id="rId6"/>
      <w:pgSz w:w="11906" w:h="16838"/>
      <w:pgMar w:top="709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9463" w14:textId="77777777" w:rsidR="00E2072F" w:rsidRDefault="00E2072F">
      <w:r>
        <w:separator/>
      </w:r>
    </w:p>
  </w:endnote>
  <w:endnote w:type="continuationSeparator" w:id="0">
    <w:p w14:paraId="65D97255" w14:textId="77777777" w:rsidR="00E2072F" w:rsidRDefault="00E2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EDC0" w14:textId="62D5A6A1" w:rsidR="00DF0645" w:rsidRDefault="00940EF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0085F" wp14:editId="0B62A80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DF49D" w14:textId="77777777" w:rsidR="00DF0645" w:rsidRDefault="00940EF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0085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14:paraId="2A9DF49D" w14:textId="77777777" w:rsidR="00DF0645" w:rsidRDefault="00940EF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7A35" w14:textId="77777777" w:rsidR="00E2072F" w:rsidRDefault="00E2072F">
      <w:r>
        <w:separator/>
      </w:r>
    </w:p>
  </w:footnote>
  <w:footnote w:type="continuationSeparator" w:id="0">
    <w:p w14:paraId="55D58484" w14:textId="77777777" w:rsidR="00E2072F" w:rsidRDefault="00E2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FF"/>
    <w:rsid w:val="00130CA6"/>
    <w:rsid w:val="002F26A9"/>
    <w:rsid w:val="00480513"/>
    <w:rsid w:val="00576236"/>
    <w:rsid w:val="00681951"/>
    <w:rsid w:val="00940EFF"/>
    <w:rsid w:val="00C3059D"/>
    <w:rsid w:val="00DB0963"/>
    <w:rsid w:val="00DD27B5"/>
    <w:rsid w:val="00E2072F"/>
    <w:rsid w:val="00E41D46"/>
    <w:rsid w:val="00F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1A0B3"/>
  <w15:chartTrackingRefBased/>
  <w15:docId w15:val="{6F232FC7-9681-4CB0-9D9B-E2BCE1EA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940EFF"/>
    <w:rPr>
      <w:sz w:val="18"/>
      <w:szCs w:val="18"/>
    </w:rPr>
  </w:style>
  <w:style w:type="paragraph" w:styleId="a4">
    <w:name w:val="footer"/>
    <w:basedOn w:val="a"/>
    <w:link w:val="a3"/>
    <w:rsid w:val="00940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940EF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26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璟</dc:creator>
  <cp:keywords/>
  <dc:description/>
  <cp:lastModifiedBy>胡 璟</cp:lastModifiedBy>
  <cp:revision>8</cp:revision>
  <cp:lastPrinted>2021-05-14T09:13:00Z</cp:lastPrinted>
  <dcterms:created xsi:type="dcterms:W3CDTF">2021-05-14T02:13:00Z</dcterms:created>
  <dcterms:modified xsi:type="dcterms:W3CDTF">2021-05-17T06:56:00Z</dcterms:modified>
</cp:coreProperties>
</file>