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2DB9" w14:textId="77777777" w:rsidR="00E92EA1" w:rsidRDefault="00663EE4">
      <w:pPr>
        <w:spacing w:line="560" w:lineRule="exact"/>
        <w:jc w:val="center"/>
        <w:rPr>
          <w:rFonts w:ascii="方正小标宋_GBK" w:eastAsia="方正小标宋_GBK"/>
          <w:sz w:val="44"/>
          <w:szCs w:val="44"/>
        </w:rPr>
      </w:pPr>
      <w:r w:rsidRPr="00663EE4">
        <w:rPr>
          <w:rFonts w:ascii="方正小标宋_GBK" w:eastAsia="方正小标宋_GBK" w:hint="eastAsia"/>
          <w:spacing w:val="11"/>
          <w:sz w:val="44"/>
          <w:szCs w:val="44"/>
        </w:rPr>
        <w:t>关于进一步加强本科生中医药经典能力提升的实施意见</w:t>
      </w:r>
    </w:p>
    <w:p w14:paraId="1E7009F2" w14:textId="77777777" w:rsidR="00E92EA1" w:rsidRDefault="00E92EA1">
      <w:pPr>
        <w:jc w:val="center"/>
        <w:rPr>
          <w:rFonts w:ascii="仿宋_GB2312" w:eastAsia="仿宋_GB2312"/>
          <w:sz w:val="32"/>
          <w:szCs w:val="32"/>
        </w:rPr>
      </w:pPr>
    </w:p>
    <w:p w14:paraId="4B3A4694" w14:textId="7941FB98" w:rsidR="00E92EA1" w:rsidRDefault="00663EE4">
      <w:pPr>
        <w:ind w:firstLine="645"/>
        <w:rPr>
          <w:rFonts w:ascii="仿宋_GB2312" w:eastAsia="仿宋_GB2312"/>
          <w:sz w:val="32"/>
          <w:szCs w:val="32"/>
        </w:rPr>
      </w:pPr>
      <w:r>
        <w:rPr>
          <w:rFonts w:ascii="仿宋_GB2312" w:eastAsia="仿宋_GB2312"/>
          <w:sz w:val="32"/>
          <w:szCs w:val="32"/>
        </w:rPr>
        <w:t>以</w:t>
      </w:r>
      <w:r w:rsidRPr="00FB61BD">
        <w:rPr>
          <w:rFonts w:ascii="仿宋_GB2312" w:eastAsia="仿宋_GB2312"/>
          <w:sz w:val="32"/>
          <w:szCs w:val="32"/>
        </w:rPr>
        <w:t>《黄帝内经》《伤寒论》《金匮要略》</w:t>
      </w:r>
      <w:r>
        <w:rPr>
          <w:rFonts w:ascii="仿宋_GB2312" w:eastAsia="仿宋_GB2312" w:hint="eastAsia"/>
          <w:sz w:val="32"/>
          <w:szCs w:val="32"/>
        </w:rPr>
        <w:t>和</w:t>
      </w:r>
      <w:r>
        <w:rPr>
          <w:rFonts w:ascii="仿宋_GB2312" w:eastAsia="仿宋_GB2312" w:hint="eastAsia"/>
          <w:sz w:val="32"/>
          <w:szCs w:val="32"/>
        </w:rPr>
        <w:t>温病学</w:t>
      </w:r>
      <w:r>
        <w:rPr>
          <w:rFonts w:ascii="仿宋_GB2312" w:eastAsia="仿宋_GB2312"/>
          <w:sz w:val="32"/>
          <w:szCs w:val="32"/>
        </w:rPr>
        <w:t>著作为代表的中医药经典著作，是</w:t>
      </w:r>
      <w:r>
        <w:rPr>
          <w:rFonts w:ascii="仿宋_GB2312" w:eastAsia="仿宋_GB2312" w:hint="eastAsia"/>
          <w:sz w:val="32"/>
          <w:szCs w:val="32"/>
        </w:rPr>
        <w:t>中医学的根源与精髓，是培养学生中医临床思维</w:t>
      </w:r>
      <w:r>
        <w:rPr>
          <w:rFonts w:ascii="仿宋_GB2312" w:eastAsia="仿宋_GB2312" w:hint="eastAsia"/>
          <w:sz w:val="32"/>
          <w:szCs w:val="32"/>
        </w:rPr>
        <w:t>、</w:t>
      </w:r>
      <w:r>
        <w:rPr>
          <w:rFonts w:ascii="仿宋_GB2312" w:eastAsia="仿宋_GB2312" w:hint="eastAsia"/>
          <w:sz w:val="32"/>
          <w:szCs w:val="32"/>
        </w:rPr>
        <w:t>运用经典理论指导临床实践能力的关键。根据《国务院办公厅关于加快医学教育创新发展的指导意见》（国办发〔</w:t>
      </w:r>
      <w:r>
        <w:rPr>
          <w:rFonts w:ascii="仿宋_GB2312" w:eastAsia="仿宋_GB2312"/>
          <w:sz w:val="32"/>
          <w:szCs w:val="32"/>
        </w:rPr>
        <w:t>2020</w:t>
      </w:r>
      <w:r>
        <w:rPr>
          <w:rFonts w:ascii="仿宋_GB2312" w:eastAsia="仿宋_GB2312"/>
          <w:sz w:val="32"/>
          <w:szCs w:val="32"/>
        </w:rPr>
        <w:t>〕</w:t>
      </w:r>
      <w:r>
        <w:rPr>
          <w:rFonts w:ascii="仿宋_GB2312" w:eastAsia="仿宋_GB2312"/>
          <w:sz w:val="32"/>
          <w:szCs w:val="32"/>
        </w:rPr>
        <w:t>34</w:t>
      </w:r>
      <w:r>
        <w:rPr>
          <w:rFonts w:ascii="仿宋_GB2312" w:eastAsia="仿宋_GB2312"/>
          <w:sz w:val="32"/>
          <w:szCs w:val="32"/>
        </w:rPr>
        <w:t>号</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《教育部</w:t>
      </w:r>
      <w:r>
        <w:rPr>
          <w:rFonts w:ascii="仿宋_GB2312" w:eastAsia="仿宋_GB2312" w:hint="eastAsia"/>
          <w:sz w:val="32"/>
          <w:szCs w:val="32"/>
        </w:rPr>
        <w:t xml:space="preserve"> </w:t>
      </w:r>
      <w:r>
        <w:rPr>
          <w:rFonts w:ascii="仿宋_GB2312" w:eastAsia="仿宋_GB2312" w:hint="eastAsia"/>
          <w:sz w:val="32"/>
          <w:szCs w:val="32"/>
        </w:rPr>
        <w:t>国家卫生健康委</w:t>
      </w:r>
      <w:r>
        <w:rPr>
          <w:rFonts w:ascii="仿宋_GB2312" w:eastAsia="仿宋_GB2312" w:hint="eastAsia"/>
          <w:sz w:val="32"/>
          <w:szCs w:val="32"/>
        </w:rPr>
        <w:t xml:space="preserve"> </w:t>
      </w:r>
      <w:r>
        <w:rPr>
          <w:rFonts w:ascii="仿宋_GB2312" w:eastAsia="仿宋_GB2312" w:hint="eastAsia"/>
          <w:sz w:val="32"/>
          <w:szCs w:val="32"/>
        </w:rPr>
        <w:t>国家中医药管理局关于深化医教协同进一步推动中医药教育改革与高质量发展的实施意见》（教高〔</w:t>
      </w:r>
      <w:r>
        <w:rPr>
          <w:rFonts w:ascii="仿宋_GB2312" w:eastAsia="仿宋_GB2312"/>
          <w:sz w:val="32"/>
          <w:szCs w:val="32"/>
        </w:rPr>
        <w:t>2020</w:t>
      </w:r>
      <w:r>
        <w:rPr>
          <w:rFonts w:ascii="仿宋_GB2312" w:eastAsia="仿宋_GB2312"/>
          <w:sz w:val="32"/>
          <w:szCs w:val="32"/>
        </w:rPr>
        <w:t>〕</w:t>
      </w:r>
      <w:r>
        <w:rPr>
          <w:rFonts w:ascii="仿宋_GB2312" w:eastAsia="仿宋_GB2312"/>
          <w:sz w:val="32"/>
          <w:szCs w:val="32"/>
        </w:rPr>
        <w:t>6</w:t>
      </w:r>
      <w:r>
        <w:rPr>
          <w:rFonts w:ascii="仿宋_GB2312" w:eastAsia="仿宋_GB2312"/>
          <w:sz w:val="32"/>
          <w:szCs w:val="32"/>
        </w:rPr>
        <w:t>号</w:t>
      </w:r>
      <w:r>
        <w:rPr>
          <w:rFonts w:ascii="仿宋_GB2312" w:eastAsia="仿宋_GB2312" w:hint="eastAsia"/>
          <w:sz w:val="32"/>
          <w:szCs w:val="32"/>
        </w:rPr>
        <w:t>）等文件精神，现就强化我校本科生中医药经典能力培养，提升中医药经典教学工作提出以下意见。</w:t>
      </w:r>
    </w:p>
    <w:p w14:paraId="15B2886A" w14:textId="77777777" w:rsidR="00E92EA1" w:rsidRDefault="00663EE4">
      <w:pPr>
        <w:ind w:firstLine="645"/>
        <w:rPr>
          <w:rFonts w:ascii="仿宋_GB2312" w:eastAsia="仿宋_GB2312"/>
          <w:b/>
          <w:sz w:val="32"/>
          <w:szCs w:val="32"/>
        </w:rPr>
      </w:pPr>
      <w:r>
        <w:rPr>
          <w:rFonts w:ascii="仿宋_GB2312" w:eastAsia="仿宋_GB2312" w:hint="eastAsia"/>
          <w:b/>
          <w:sz w:val="32"/>
          <w:szCs w:val="32"/>
        </w:rPr>
        <w:t>一、指导思想</w:t>
      </w:r>
    </w:p>
    <w:p w14:paraId="7D280C84" w14:textId="77777777" w:rsidR="00E92EA1" w:rsidRDefault="00663EE4">
      <w:pPr>
        <w:ind w:firstLine="645"/>
        <w:rPr>
          <w:rFonts w:ascii="仿宋_GB2312" w:eastAsia="仿宋_GB2312"/>
          <w:sz w:val="32"/>
          <w:szCs w:val="32"/>
        </w:rPr>
      </w:pPr>
      <w:r>
        <w:rPr>
          <w:rFonts w:ascii="仿宋_GB2312" w:eastAsia="仿宋_GB2312" w:hint="eastAsia"/>
          <w:sz w:val="32"/>
          <w:szCs w:val="32"/>
        </w:rPr>
        <w:t>以习近平新时代中国特色社会主义思想为指导，全面贯彻党的二十大精神，围绕立德树人根本任务，深入落实党中央、国务院关于促进中医药传承创新发展的决策部署，遵循中医药人才成长规律，突出中医药经典能力培养的核心地位，培养高质量中医药人才。</w:t>
      </w:r>
    </w:p>
    <w:p w14:paraId="04752522" w14:textId="77777777" w:rsidR="00E92EA1" w:rsidRDefault="00663EE4">
      <w:pPr>
        <w:ind w:firstLine="645"/>
        <w:rPr>
          <w:rFonts w:ascii="仿宋_GB2312" w:eastAsia="仿宋_GB2312"/>
          <w:b/>
          <w:sz w:val="32"/>
          <w:szCs w:val="32"/>
        </w:rPr>
      </w:pPr>
      <w:r>
        <w:rPr>
          <w:rFonts w:ascii="仿宋_GB2312" w:eastAsia="仿宋_GB2312" w:hint="eastAsia"/>
          <w:b/>
          <w:sz w:val="32"/>
          <w:szCs w:val="32"/>
        </w:rPr>
        <w:t>二、工作目标</w:t>
      </w:r>
    </w:p>
    <w:p w14:paraId="1D1E4286" w14:textId="18E4B11D" w:rsidR="00E92EA1" w:rsidRDefault="00663EE4">
      <w:pPr>
        <w:ind w:firstLine="645"/>
        <w:rPr>
          <w:rFonts w:ascii="仿宋_GB2312" w:eastAsia="仿宋_GB2312"/>
          <w:sz w:val="32"/>
          <w:szCs w:val="32"/>
        </w:rPr>
      </w:pPr>
      <w:r>
        <w:rPr>
          <w:rFonts w:ascii="仿宋_GB2312" w:eastAsia="仿宋_GB2312" w:hint="eastAsia"/>
          <w:sz w:val="32"/>
          <w:szCs w:val="32"/>
        </w:rPr>
        <w:t>通过建立健全师资培育、教学改革、激励督促等管理机制，构建全校中医药经典学习氛围，推动形成重视经典、回归经典、钻研经典的良好学风，</w:t>
      </w:r>
      <w:r>
        <w:rPr>
          <w:rFonts w:ascii="仿宋_GB2312" w:eastAsia="仿宋_GB2312" w:hint="eastAsia"/>
          <w:sz w:val="32"/>
          <w:szCs w:val="32"/>
        </w:rPr>
        <w:t>全面提升经典能力培养工作</w:t>
      </w:r>
      <w:r>
        <w:rPr>
          <w:rFonts w:ascii="仿宋_GB2312" w:eastAsia="仿宋_GB2312" w:hint="eastAsia"/>
          <w:sz w:val="32"/>
          <w:szCs w:val="32"/>
        </w:rPr>
        <w:lastRenderedPageBreak/>
        <w:t>的质量和水平，</w:t>
      </w:r>
      <w:r>
        <w:rPr>
          <w:rFonts w:ascii="仿宋_GB2312" w:eastAsia="仿宋_GB2312" w:hint="eastAsia"/>
          <w:sz w:val="32"/>
          <w:szCs w:val="32"/>
        </w:rPr>
        <w:t>切实提高本科生</w:t>
      </w:r>
      <w:r>
        <w:rPr>
          <w:rFonts w:ascii="仿宋_GB2312" w:eastAsia="仿宋_GB2312" w:hint="eastAsia"/>
          <w:sz w:val="32"/>
          <w:szCs w:val="32"/>
        </w:rPr>
        <w:t>中医药经典</w:t>
      </w:r>
      <w:r>
        <w:rPr>
          <w:rFonts w:ascii="仿宋_GB2312" w:eastAsia="仿宋_GB2312" w:hint="eastAsia"/>
          <w:sz w:val="32"/>
          <w:szCs w:val="32"/>
        </w:rPr>
        <w:t>理解</w:t>
      </w:r>
      <w:r>
        <w:rPr>
          <w:rFonts w:ascii="仿宋_GB2312" w:eastAsia="仿宋_GB2312" w:hint="eastAsia"/>
          <w:sz w:val="32"/>
          <w:szCs w:val="32"/>
        </w:rPr>
        <w:t>运用能力</w:t>
      </w:r>
      <w:r>
        <w:rPr>
          <w:rFonts w:ascii="仿宋_GB2312" w:eastAsia="仿宋_GB2312" w:hint="eastAsia"/>
          <w:sz w:val="32"/>
          <w:szCs w:val="32"/>
        </w:rPr>
        <w:t>和培养成效</w:t>
      </w:r>
      <w:r>
        <w:rPr>
          <w:rFonts w:ascii="仿宋_GB2312" w:eastAsia="仿宋_GB2312" w:hint="eastAsia"/>
          <w:sz w:val="32"/>
          <w:szCs w:val="32"/>
        </w:rPr>
        <w:t>，</w:t>
      </w:r>
      <w:r>
        <w:rPr>
          <w:rFonts w:ascii="仿宋_GB2312" w:eastAsia="仿宋_GB2312" w:hint="eastAsia"/>
          <w:sz w:val="32"/>
          <w:szCs w:val="32"/>
        </w:rPr>
        <w:t>为全面提高中医药人才培养质量</w:t>
      </w:r>
      <w:r>
        <w:rPr>
          <w:rFonts w:ascii="仿宋_GB2312" w:eastAsia="仿宋_GB2312" w:hint="eastAsia"/>
          <w:sz w:val="32"/>
          <w:szCs w:val="32"/>
        </w:rPr>
        <w:t>筑牢根基</w:t>
      </w:r>
      <w:r>
        <w:rPr>
          <w:rFonts w:ascii="仿宋_GB2312" w:eastAsia="仿宋_GB2312" w:hint="eastAsia"/>
          <w:sz w:val="32"/>
          <w:szCs w:val="32"/>
        </w:rPr>
        <w:t>。</w:t>
      </w:r>
    </w:p>
    <w:p w14:paraId="2CEAD8DC" w14:textId="77777777" w:rsidR="00E92EA1" w:rsidRDefault="00663EE4">
      <w:pPr>
        <w:ind w:firstLine="645"/>
        <w:rPr>
          <w:rFonts w:ascii="仿宋_GB2312" w:eastAsia="仿宋_GB2312"/>
          <w:b/>
          <w:sz w:val="32"/>
          <w:szCs w:val="32"/>
        </w:rPr>
      </w:pPr>
      <w:r>
        <w:rPr>
          <w:rFonts w:ascii="仿宋_GB2312" w:eastAsia="仿宋_GB2312" w:hint="eastAsia"/>
          <w:b/>
          <w:sz w:val="32"/>
          <w:szCs w:val="32"/>
        </w:rPr>
        <w:t>三、主要举措</w:t>
      </w:r>
    </w:p>
    <w:p w14:paraId="488E4304" w14:textId="77777777" w:rsidR="00E92EA1" w:rsidRDefault="00663EE4">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优化人才培养方案</w:t>
      </w:r>
    </w:p>
    <w:p w14:paraId="14ADDB27" w14:textId="6F087BA9" w:rsidR="00E92EA1" w:rsidRDefault="00663EE4">
      <w:pPr>
        <w:ind w:firstLine="645"/>
        <w:rPr>
          <w:rFonts w:ascii="仿宋_GB2312" w:eastAsia="仿宋_GB2312"/>
          <w:sz w:val="32"/>
          <w:szCs w:val="32"/>
        </w:rPr>
      </w:pPr>
      <w:r>
        <w:rPr>
          <w:rFonts w:ascii="仿宋_GB2312" w:eastAsia="仿宋_GB2312" w:hint="eastAsia"/>
          <w:sz w:val="32"/>
          <w:szCs w:val="32"/>
        </w:rPr>
        <w:t>突出中医药经典课程核心地位并作为中医学类、中西医结合类专业必修课程；基于中医药经典等级考试知识体系，</w:t>
      </w:r>
      <w:r>
        <w:rPr>
          <w:rFonts w:ascii="仿宋_GB2312" w:eastAsia="仿宋_GB2312" w:hint="eastAsia"/>
          <w:sz w:val="32"/>
          <w:szCs w:val="32"/>
        </w:rPr>
        <w:t>适当</w:t>
      </w:r>
      <w:r>
        <w:rPr>
          <w:rFonts w:ascii="仿宋_GB2312" w:eastAsia="仿宋_GB2312" w:hint="eastAsia"/>
          <w:sz w:val="32"/>
          <w:szCs w:val="32"/>
        </w:rPr>
        <w:t>提前设置经典课程的教学进程；</w:t>
      </w:r>
      <w:r>
        <w:rPr>
          <w:rFonts w:ascii="仿宋_GB2312" w:eastAsia="仿宋_GB2312" w:hint="eastAsia"/>
          <w:sz w:val="32"/>
          <w:szCs w:val="32"/>
        </w:rPr>
        <w:t>强化</w:t>
      </w:r>
      <w:r>
        <w:rPr>
          <w:rFonts w:ascii="仿宋_GB2312" w:eastAsia="仿宋_GB2312" w:hint="eastAsia"/>
          <w:sz w:val="32"/>
          <w:szCs w:val="32"/>
        </w:rPr>
        <w:t>人才培养方案对学生中医药经典能力的要求；</w:t>
      </w:r>
      <w:r>
        <w:rPr>
          <w:rFonts w:ascii="仿宋_GB2312" w:eastAsia="仿宋_GB2312" w:hint="eastAsia"/>
          <w:sz w:val="32"/>
          <w:szCs w:val="32"/>
        </w:rPr>
        <w:t>探索中医药经典课程分段式教学改革，使学生尽早接受经典教学，</w:t>
      </w:r>
      <w:r>
        <w:rPr>
          <w:rFonts w:ascii="仿宋_GB2312" w:eastAsia="仿宋_GB2312" w:hint="eastAsia"/>
          <w:sz w:val="32"/>
          <w:szCs w:val="32"/>
        </w:rPr>
        <w:t>并</w:t>
      </w:r>
      <w:r>
        <w:rPr>
          <w:rFonts w:ascii="仿宋_GB2312" w:eastAsia="仿宋_GB2312" w:hint="eastAsia"/>
          <w:sz w:val="32"/>
          <w:szCs w:val="32"/>
        </w:rPr>
        <w:t>将</w:t>
      </w:r>
      <w:r>
        <w:rPr>
          <w:rFonts w:ascii="仿宋_GB2312" w:eastAsia="仿宋_GB2312" w:hint="eastAsia"/>
          <w:sz w:val="32"/>
          <w:szCs w:val="32"/>
        </w:rPr>
        <w:t>其</w:t>
      </w:r>
      <w:r>
        <w:rPr>
          <w:rFonts w:ascii="仿宋_GB2312" w:eastAsia="仿宋_GB2312" w:hint="eastAsia"/>
          <w:sz w:val="32"/>
          <w:szCs w:val="32"/>
        </w:rPr>
        <w:t>贯穿于理论教学与临床教学全过程。</w:t>
      </w:r>
    </w:p>
    <w:p w14:paraId="6CBD33D1" w14:textId="77777777" w:rsidR="00E92EA1" w:rsidRDefault="00663EE4">
      <w:pPr>
        <w:ind w:firstLine="645"/>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完善经典培训机制</w:t>
      </w:r>
    </w:p>
    <w:p w14:paraId="3179D229" w14:textId="77777777" w:rsidR="00E92EA1" w:rsidRDefault="00663EE4">
      <w:pPr>
        <w:ind w:firstLine="645"/>
        <w:rPr>
          <w:rFonts w:ascii="仿宋_GB2312" w:eastAsia="仿宋_GB2312"/>
          <w:sz w:val="32"/>
          <w:szCs w:val="32"/>
        </w:rPr>
      </w:pPr>
      <w:r>
        <w:rPr>
          <w:rFonts w:ascii="仿宋_GB2312" w:eastAsia="仿宋_GB2312" w:hint="eastAsia"/>
          <w:sz w:val="32"/>
          <w:szCs w:val="32"/>
        </w:rPr>
        <w:t>由中医药经典课程所在学院牵头制订本科生年度中医药经典培训计划并组织实施，各中医学类、中西医结合类专业所在学院组织相关学生参加培训，学生在读期间参加不低于</w:t>
      </w:r>
      <w:r>
        <w:rPr>
          <w:rFonts w:ascii="仿宋_GB2312" w:eastAsia="仿宋_GB2312" w:hint="eastAsia"/>
          <w:sz w:val="32"/>
          <w:szCs w:val="32"/>
        </w:rPr>
        <w:t>3</w:t>
      </w:r>
      <w:r>
        <w:rPr>
          <w:rFonts w:ascii="仿宋_GB2312" w:eastAsia="仿宋_GB2312" w:hint="eastAsia"/>
          <w:sz w:val="32"/>
          <w:szCs w:val="32"/>
        </w:rPr>
        <w:t>次培训，通过建立常态化、全覆盖的培训机制，提高中医药经典培养水平。</w:t>
      </w:r>
    </w:p>
    <w:p w14:paraId="298044D7" w14:textId="77777777" w:rsidR="00E92EA1" w:rsidRDefault="00663EE4">
      <w:pPr>
        <w:ind w:firstLine="645"/>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建立校级考核体系</w:t>
      </w:r>
    </w:p>
    <w:p w14:paraId="38DDACB2" w14:textId="77777777" w:rsidR="00E92EA1" w:rsidRDefault="00663EE4">
      <w:pPr>
        <w:ind w:firstLine="645"/>
        <w:rPr>
          <w:rFonts w:ascii="仿宋_GB2312" w:eastAsia="仿宋_GB2312"/>
          <w:sz w:val="32"/>
          <w:szCs w:val="32"/>
        </w:rPr>
      </w:pPr>
      <w:r>
        <w:rPr>
          <w:rFonts w:ascii="仿宋_GB2312" w:eastAsia="仿宋_GB2312" w:hint="eastAsia"/>
          <w:sz w:val="32"/>
          <w:szCs w:val="32"/>
        </w:rPr>
        <w:t>综合考虑有关专业中医药经典课程的修学学期及学生应有的知识储备实际，合理设置报考条件；学校每年度开展不低于两次的校级中医药经典能力等级考试；引入涵盖中医药经典相关内容的国家级考试作为实习准入考核，加强对理论教学阶段的中医药经典学习成效进行考核；对毕业实习生</w:t>
      </w:r>
      <w:r>
        <w:rPr>
          <w:rFonts w:ascii="仿宋_GB2312" w:eastAsia="仿宋_GB2312" w:hint="eastAsia"/>
          <w:sz w:val="32"/>
          <w:szCs w:val="32"/>
        </w:rPr>
        <w:lastRenderedPageBreak/>
        <w:t>开展定期中医药</w:t>
      </w:r>
      <w:r>
        <w:rPr>
          <w:rFonts w:ascii="仿宋_GB2312" w:eastAsia="仿宋_GB2312" w:hint="eastAsia"/>
          <w:sz w:val="32"/>
          <w:szCs w:val="32"/>
        </w:rPr>
        <w:t>经典能力测试，测试成绩作为毕业实习成绩的组成部分；在毕业考核中增加中医药经典相关知识的考核比例。</w:t>
      </w:r>
    </w:p>
    <w:p w14:paraId="2B36F22C" w14:textId="77777777" w:rsidR="00E92EA1" w:rsidRDefault="00663EE4">
      <w:pPr>
        <w:ind w:firstLine="645"/>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加强中医药经典课程建设</w:t>
      </w:r>
    </w:p>
    <w:p w14:paraId="75F53CBA" w14:textId="77777777" w:rsidR="00E92EA1" w:rsidRDefault="00663EE4">
      <w:pPr>
        <w:ind w:firstLine="645"/>
        <w:rPr>
          <w:rFonts w:ascii="仿宋_GB2312" w:eastAsia="仿宋_GB2312"/>
          <w:sz w:val="32"/>
          <w:szCs w:val="32"/>
        </w:rPr>
      </w:pPr>
      <w:r>
        <w:rPr>
          <w:rFonts w:ascii="仿宋_GB2312" w:eastAsia="仿宋_GB2312" w:hint="eastAsia"/>
          <w:sz w:val="32"/>
          <w:szCs w:val="32"/>
        </w:rPr>
        <w:t>组织中医药经典及相关课程教学大纲修订，推进中医药经典知识融入主干课程教学；鼓励中医药经典相关选修课程的开设，形成以四大经典课程为主、一批高质量的选修课为辅的中医药经典课程体系；推进中医药经典相关微专业建设；激励经典课程的立体化教学资源的开发利用，为提高经典教学水平提供资源平台。</w:t>
      </w:r>
    </w:p>
    <w:p w14:paraId="5C2794FE" w14:textId="77777777" w:rsidR="00E92EA1" w:rsidRDefault="00663EE4">
      <w:pPr>
        <w:ind w:firstLine="645"/>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提升中医药经典课程师资水平</w:t>
      </w:r>
    </w:p>
    <w:p w14:paraId="758BC3FD" w14:textId="77777777" w:rsidR="00E92EA1" w:rsidRDefault="00663EE4">
      <w:pPr>
        <w:ind w:firstLine="645"/>
        <w:rPr>
          <w:rFonts w:ascii="仿宋_GB2312" w:eastAsia="仿宋_GB2312"/>
          <w:sz w:val="32"/>
          <w:szCs w:val="32"/>
        </w:rPr>
      </w:pPr>
      <w:r>
        <w:rPr>
          <w:rFonts w:ascii="仿宋_GB2312" w:eastAsia="仿宋_GB2312" w:hint="eastAsia"/>
          <w:sz w:val="32"/>
          <w:szCs w:val="32"/>
        </w:rPr>
        <w:t>针对中医药经典相关课程师资开展专项教师教学发展工作，通过引培并举，持续优化</w:t>
      </w:r>
      <w:r>
        <w:rPr>
          <w:rFonts w:ascii="仿宋_GB2312" w:eastAsia="仿宋_GB2312" w:hint="eastAsia"/>
          <w:sz w:val="32"/>
          <w:szCs w:val="32"/>
        </w:rPr>
        <w:t>中医药经典课程师资结构；加强师资的校际交流学习，吸取同行院校的优秀教学经验；吸收附属医院优质的临床师资充实我校中医药经典课程师资队伍。</w:t>
      </w:r>
    </w:p>
    <w:p w14:paraId="0DEABA72" w14:textId="77777777" w:rsidR="00E92EA1" w:rsidRDefault="00663EE4">
      <w:pPr>
        <w:ind w:firstLine="645"/>
        <w:rPr>
          <w:rFonts w:ascii="仿宋_GB2312" w:eastAsia="仿宋_GB2312"/>
          <w:b/>
          <w:sz w:val="32"/>
          <w:szCs w:val="32"/>
        </w:rPr>
      </w:pPr>
      <w:r>
        <w:rPr>
          <w:rFonts w:ascii="仿宋_GB2312" w:eastAsia="仿宋_GB2312" w:hint="eastAsia"/>
          <w:b/>
          <w:sz w:val="32"/>
          <w:szCs w:val="32"/>
        </w:rPr>
        <w:t>四、保障措施</w:t>
      </w:r>
    </w:p>
    <w:p w14:paraId="00FF72DF" w14:textId="77777777" w:rsidR="00E92EA1" w:rsidRDefault="00663EE4">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加强质量管理</w:t>
      </w:r>
    </w:p>
    <w:p w14:paraId="62E6851D" w14:textId="77777777" w:rsidR="00E92EA1" w:rsidRDefault="00663EE4">
      <w:pPr>
        <w:ind w:firstLine="645"/>
        <w:rPr>
          <w:rFonts w:ascii="仿宋_GB2312" w:eastAsia="仿宋_GB2312"/>
          <w:sz w:val="32"/>
          <w:szCs w:val="32"/>
        </w:rPr>
      </w:pPr>
      <w:r>
        <w:rPr>
          <w:rFonts w:ascii="仿宋_GB2312" w:eastAsia="仿宋_GB2312" w:hint="eastAsia"/>
          <w:sz w:val="32"/>
          <w:szCs w:val="32"/>
        </w:rPr>
        <w:t>将中医药经典相关课程考核、各级中医药经典能力等级考试结果与中医学类、中西医结合类各专业建设绩效考核、专业所在学院年终考核相关联；开展定期教学检查及教研室评估工作，加强中医药经典相关课程建设及教学过程管理的</w:t>
      </w:r>
      <w:r>
        <w:rPr>
          <w:rFonts w:ascii="仿宋_GB2312" w:eastAsia="仿宋_GB2312" w:hint="eastAsia"/>
          <w:sz w:val="32"/>
          <w:szCs w:val="32"/>
        </w:rPr>
        <w:lastRenderedPageBreak/>
        <w:t>监督与指导。</w:t>
      </w:r>
    </w:p>
    <w:p w14:paraId="408D9AE7" w14:textId="77777777" w:rsidR="00E92EA1" w:rsidRDefault="00663EE4">
      <w:pPr>
        <w:ind w:firstLine="645"/>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加强激励引导</w:t>
      </w:r>
    </w:p>
    <w:p w14:paraId="137C6E68" w14:textId="5D639EB4" w:rsidR="00E92EA1" w:rsidRDefault="00663EE4">
      <w:pPr>
        <w:ind w:firstLine="645"/>
        <w:rPr>
          <w:rFonts w:ascii="仿宋_GB2312" w:eastAsia="仿宋_GB2312"/>
          <w:sz w:val="32"/>
          <w:szCs w:val="32"/>
        </w:rPr>
      </w:pPr>
      <w:r>
        <w:rPr>
          <w:rFonts w:ascii="仿宋_GB2312" w:eastAsia="仿宋_GB2312" w:hint="eastAsia"/>
          <w:sz w:val="32"/>
          <w:szCs w:val="32"/>
        </w:rPr>
        <w:t>将中医药经典能力等级考试合格（≥</w:t>
      </w:r>
      <w:r>
        <w:rPr>
          <w:rFonts w:ascii="仿宋_GB2312" w:eastAsia="仿宋_GB2312" w:hint="eastAsia"/>
          <w:sz w:val="32"/>
          <w:szCs w:val="32"/>
        </w:rPr>
        <w:t>6</w:t>
      </w:r>
      <w:r>
        <w:rPr>
          <w:rFonts w:ascii="仿宋_GB2312" w:eastAsia="仿宋_GB2312"/>
          <w:sz w:val="32"/>
          <w:szCs w:val="32"/>
        </w:rPr>
        <w:t>0</w:t>
      </w:r>
      <w:r>
        <w:rPr>
          <w:rFonts w:ascii="仿宋_GB2312" w:eastAsia="仿宋_GB2312" w:hint="eastAsia"/>
          <w:sz w:val="32"/>
          <w:szCs w:val="32"/>
        </w:rPr>
        <w:t>分）作为中医学类、中西医结合类专业毕业要求，</w:t>
      </w:r>
      <w:r>
        <w:rPr>
          <w:rFonts w:ascii="仿宋" w:eastAsia="仿宋" w:hAnsi="仿宋" w:hint="eastAsia"/>
          <w:sz w:val="32"/>
          <w:szCs w:val="32"/>
        </w:rPr>
        <w:t>自</w:t>
      </w: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级起以上专业学生须通过国家级中的任何一级</w:t>
      </w:r>
      <w:r>
        <w:rPr>
          <w:rFonts w:ascii="仿宋" w:eastAsia="仿宋" w:hAnsi="仿宋" w:hint="eastAsia"/>
          <w:sz w:val="32"/>
          <w:szCs w:val="32"/>
        </w:rPr>
        <w:t>方可毕业</w:t>
      </w:r>
      <w:r>
        <w:rPr>
          <w:rFonts w:ascii="仿宋" w:eastAsia="仿宋" w:hAnsi="仿宋" w:hint="eastAsia"/>
          <w:sz w:val="32"/>
          <w:szCs w:val="32"/>
        </w:rPr>
        <w:t>，对</w:t>
      </w: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级以前各人才培养方案提出经典能力要求的以上专业学生，须通过校级或国家级中的任何一级</w:t>
      </w:r>
      <w:r>
        <w:rPr>
          <w:rFonts w:ascii="仿宋" w:eastAsia="仿宋" w:hAnsi="仿宋" w:hint="eastAsia"/>
          <w:sz w:val="32"/>
          <w:szCs w:val="32"/>
        </w:rPr>
        <w:t>方可毕业</w:t>
      </w:r>
      <w:r>
        <w:rPr>
          <w:rFonts w:ascii="仿宋_GB2312" w:eastAsia="仿宋_GB2312" w:hint="eastAsia"/>
          <w:sz w:val="32"/>
          <w:szCs w:val="32"/>
        </w:rPr>
        <w:t>；组织校级中医药经典能力大赛，营造校园良好的中医药经典学习氛围，激发学生学习中医药经典的兴趣；鼓励和支持中医药经典相关课程教师开展教学研究与改革。</w:t>
      </w:r>
    </w:p>
    <w:p w14:paraId="27A44122" w14:textId="77777777" w:rsidR="00E92EA1" w:rsidRDefault="00663EE4">
      <w:pPr>
        <w:ind w:firstLine="64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加强政策支持</w:t>
      </w:r>
    </w:p>
    <w:p w14:paraId="5DD1EE3C" w14:textId="77777777" w:rsidR="00E92EA1" w:rsidRDefault="00663EE4">
      <w:pPr>
        <w:ind w:firstLine="645"/>
      </w:pPr>
      <w:r>
        <w:rPr>
          <w:rFonts w:ascii="仿宋_GB2312" w:eastAsia="仿宋_GB2312" w:hint="eastAsia"/>
          <w:sz w:val="32"/>
          <w:szCs w:val="32"/>
        </w:rPr>
        <w:t>设置中医药经典教学专项经费，加强对中医药经典相关考试、师生培训、竞赛活动及课程建设的经费保障；积极支持教学研究工作，组</w:t>
      </w:r>
      <w:r>
        <w:rPr>
          <w:rFonts w:ascii="仿宋_GB2312" w:eastAsia="仿宋_GB2312" w:hint="eastAsia"/>
          <w:sz w:val="32"/>
          <w:szCs w:val="32"/>
        </w:rPr>
        <w:t>织开展中医药经典相关教育教学改革研究项目建设；建立中医药经典教学荣誉体系，对教学成效突出的教师及等级考试成绩优异的学生进行表彰。</w:t>
      </w:r>
    </w:p>
    <w:sectPr w:rsidR="00E92EA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0A95" w14:textId="77777777" w:rsidR="00000000" w:rsidRDefault="00663EE4">
      <w:r>
        <w:separator/>
      </w:r>
    </w:p>
  </w:endnote>
  <w:endnote w:type="continuationSeparator" w:id="0">
    <w:p w14:paraId="7425F89D" w14:textId="77777777" w:rsidR="00000000" w:rsidRDefault="0066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F3A3B43B-8803-4848-9BF2-3D08664F9FB1}"/>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2" w:subsetted="1" w:fontKey="{E9BE25E4-E441-463F-AAD4-E2B3C98259C4}"/>
  </w:font>
  <w:font w:name="仿宋_GB2312">
    <w:altName w:val="仿宋"/>
    <w:panose1 w:val="02010609030101010101"/>
    <w:charset w:val="86"/>
    <w:family w:val="modern"/>
    <w:pitch w:val="fixed"/>
    <w:sig w:usb0="00000001" w:usb1="080E0000" w:usb2="00000010" w:usb3="00000000" w:csb0="00040000" w:csb1="00000000"/>
    <w:embedRegular r:id="rId3" w:subsetted="1" w:fontKey="{4EAA9D5E-999E-4CA8-96ED-81FEC0D795EF}"/>
    <w:embedBold r:id="rId4" w:subsetted="1" w:fontKey="{E4523783-67D5-4725-AF0F-C0C0611EA2B0}"/>
  </w:font>
  <w:font w:name="仿宋">
    <w:panose1 w:val="02010609060101010101"/>
    <w:charset w:val="86"/>
    <w:family w:val="modern"/>
    <w:pitch w:val="fixed"/>
    <w:sig w:usb0="800002BF" w:usb1="38CF7CFA" w:usb2="00000016" w:usb3="00000000" w:csb0="00040001" w:csb1="00000000"/>
    <w:embedRegular r:id="rId5" w:subsetted="1" w:fontKey="{67667C36-E016-4A59-9D5D-DD3C152AE2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09075"/>
      <w:docPartObj>
        <w:docPartGallery w:val="AutoText"/>
      </w:docPartObj>
    </w:sdtPr>
    <w:sdtEndPr/>
    <w:sdtContent>
      <w:p w14:paraId="4112691A" w14:textId="77777777" w:rsidR="00E92EA1" w:rsidRDefault="00663EE4">
        <w:pPr>
          <w:pStyle w:val="a3"/>
          <w:jc w:val="center"/>
        </w:pPr>
        <w:r>
          <w:fldChar w:fldCharType="begin"/>
        </w:r>
        <w:r>
          <w:instrText>PAGE   \* MERGEFORMAT</w:instrText>
        </w:r>
        <w:r>
          <w:fldChar w:fldCharType="separate"/>
        </w:r>
        <w:r>
          <w:rPr>
            <w:lang w:val="zh-CN"/>
          </w:rPr>
          <w:t>2</w:t>
        </w:r>
        <w:r>
          <w:fldChar w:fldCharType="end"/>
        </w:r>
      </w:p>
    </w:sdtContent>
  </w:sdt>
  <w:p w14:paraId="42238054" w14:textId="77777777" w:rsidR="00E92EA1" w:rsidRDefault="00E92E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4C21" w14:textId="77777777" w:rsidR="00000000" w:rsidRDefault="00663EE4">
      <w:r>
        <w:separator/>
      </w:r>
    </w:p>
  </w:footnote>
  <w:footnote w:type="continuationSeparator" w:id="0">
    <w:p w14:paraId="680DBE39" w14:textId="77777777" w:rsidR="00000000" w:rsidRDefault="0066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49"/>
    <w:rsid w:val="000447DD"/>
    <w:rsid w:val="000E1649"/>
    <w:rsid w:val="00134F5B"/>
    <w:rsid w:val="00221680"/>
    <w:rsid w:val="0025358B"/>
    <w:rsid w:val="00310DED"/>
    <w:rsid w:val="00443835"/>
    <w:rsid w:val="00475B42"/>
    <w:rsid w:val="0057204E"/>
    <w:rsid w:val="00594AA0"/>
    <w:rsid w:val="005A5E7D"/>
    <w:rsid w:val="005E5F15"/>
    <w:rsid w:val="00663EE4"/>
    <w:rsid w:val="0077559D"/>
    <w:rsid w:val="007D17E1"/>
    <w:rsid w:val="00914A6F"/>
    <w:rsid w:val="009B3311"/>
    <w:rsid w:val="00A2639D"/>
    <w:rsid w:val="00AC3EED"/>
    <w:rsid w:val="00C24BA5"/>
    <w:rsid w:val="00CB7456"/>
    <w:rsid w:val="00CD3FB3"/>
    <w:rsid w:val="00D1030A"/>
    <w:rsid w:val="00E92EA1"/>
    <w:rsid w:val="00F54E00"/>
    <w:rsid w:val="060B2E3D"/>
    <w:rsid w:val="0FF24D67"/>
    <w:rsid w:val="194A1770"/>
    <w:rsid w:val="25BB7F6A"/>
    <w:rsid w:val="34F800EA"/>
    <w:rsid w:val="4BA17066"/>
    <w:rsid w:val="4FA669F9"/>
    <w:rsid w:val="5793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58AA"/>
  <w15:docId w15:val="{D321EB87-E8C8-4034-B585-49AA3C4A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月白 秋</dc:creator>
  <cp:lastModifiedBy>月白 秋</cp:lastModifiedBy>
  <cp:revision>21</cp:revision>
  <dcterms:created xsi:type="dcterms:W3CDTF">2025-06-02T05:18:00Z</dcterms:created>
  <dcterms:modified xsi:type="dcterms:W3CDTF">2025-07-10T10:11:00Z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eyJoZGlkIjoiYzg2MWJhNTllMjcxOTFmOGU0MTg5ZjkwYzNhYTE1MDYiLCJ1c2VySWQiOiIxNzkzODYwMzIifQ==</vt:lpwstr>
  </property>
  <property fmtid="{D5CDD505-2E9C-101B-9397-08002B2CF9AE}" pid="3" name="KSOProductBuildVer">
    <vt:lpwstr>2052-12.1.0.21915</vt:lpwstr>
  </property>
  <property fmtid="{D5CDD505-2E9C-101B-9397-08002B2CF9AE}" pid="4" name="ICV">
    <vt:lpwstr>6A6F97FDE9E140AAADA37A94C8654484_12</vt:lpwstr>
  </property>
</Properties>
</file>